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657BCEC" w:rsidP="43A80BFA" w:rsidRDefault="0657BCEC" w14:paraId="38C83764" w14:textId="6E1A994D">
      <w:pPr>
        <w:pStyle w:val="Heading1"/>
        <w:spacing w:before="322" w:beforeAutospacing="off" w:after="322" w:afterAutospacing="off"/>
        <w:rPr>
          <w:rFonts w:ascii="Times New Roman" w:hAnsi="Times New Roman" w:eastAsia="Times New Roman" w:cs="Times New Roman"/>
          <w:b w:val="0"/>
          <w:bCs w:val="0"/>
          <w:i w:val="0"/>
          <w:iCs w:val="0"/>
          <w:noProof w:val="0"/>
          <w:color w:val="auto"/>
          <w:sz w:val="48"/>
          <w:szCs w:val="48"/>
          <w:lang w:val="en-US"/>
        </w:rPr>
      </w:pPr>
      <w:r w:rsidRPr="43A80BFA" w:rsidR="0657BCEC">
        <w:rPr>
          <w:rFonts w:ascii="Times New Roman" w:hAnsi="Times New Roman" w:eastAsia="Times New Roman" w:cs="Times New Roman"/>
          <w:b w:val="0"/>
          <w:bCs w:val="0"/>
          <w:i w:val="0"/>
          <w:iCs w:val="0"/>
          <w:noProof w:val="0"/>
          <w:color w:val="auto"/>
          <w:sz w:val="48"/>
          <w:szCs w:val="48"/>
          <w:lang w:val="en-US"/>
        </w:rPr>
        <w:t>The Question of Ensuring Digital Access as a Fundamental Human Right</w:t>
      </w:r>
    </w:p>
    <w:p w:rsidR="43A80BFA" w:rsidP="43A80BFA" w:rsidRDefault="43A80BFA" w14:paraId="750F736D" w14:textId="1EF35515">
      <w:pPr>
        <w:pStyle w:val="Heading3"/>
        <w:spacing w:before="281" w:beforeAutospacing="off" w:after="281" w:afterAutospacing="off"/>
        <w:rPr>
          <w:rFonts w:ascii="Times New Roman" w:hAnsi="Times New Roman" w:eastAsia="Times New Roman" w:cs="Times New Roman"/>
          <w:b w:val="0"/>
          <w:bCs w:val="0"/>
          <w:i w:val="0"/>
          <w:iCs w:val="0"/>
          <w:noProof w:val="0"/>
          <w:color w:val="auto"/>
          <w:sz w:val="28"/>
          <w:szCs w:val="28"/>
          <w:lang w:val="en-US"/>
        </w:rPr>
      </w:pPr>
    </w:p>
    <w:p w:rsidR="1616BF36" w:rsidP="43A80BFA" w:rsidRDefault="1616BF36" w14:paraId="068622CF" w14:textId="1E9290ED">
      <w:pPr>
        <w:pStyle w:val="Heading3"/>
        <w:spacing w:before="281" w:beforeAutospacing="off" w:after="281" w:afterAutospacing="off"/>
        <w:rPr>
          <w:rFonts w:ascii="Times New Roman" w:hAnsi="Times New Roman" w:eastAsia="Times New Roman" w:cs="Times New Roman"/>
          <w:b w:val="1"/>
          <w:bCs w:val="1"/>
          <w:i w:val="0"/>
          <w:iCs w:val="0"/>
          <w:noProof w:val="0"/>
          <w:color w:val="auto"/>
          <w:sz w:val="28"/>
          <w:szCs w:val="28"/>
          <w:lang w:val="en-US"/>
        </w:rPr>
      </w:pPr>
      <w:r w:rsidRPr="43A80BFA" w:rsidR="1616BF36">
        <w:rPr>
          <w:rFonts w:ascii="Times New Roman" w:hAnsi="Times New Roman" w:eastAsia="Times New Roman" w:cs="Times New Roman"/>
          <w:b w:val="1"/>
          <w:bCs w:val="1"/>
          <w:i w:val="0"/>
          <w:iCs w:val="0"/>
          <w:noProof w:val="0"/>
          <w:color w:val="auto"/>
          <w:sz w:val="28"/>
          <w:szCs w:val="28"/>
          <w:lang w:val="en-US"/>
        </w:rPr>
        <w:t>Summary:</w:t>
      </w:r>
    </w:p>
    <w:p w:rsidR="1616BF36" w:rsidP="43A80BFA" w:rsidRDefault="1616BF36" w14:paraId="5EECD17E" w14:textId="6DAC4A9B">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In our increasingly digitized world, approximately 2.7 billion people </w:t>
      </w:r>
      <w:r w:rsidRPr="43A80BFA" w:rsidR="1616BF36">
        <w:rPr>
          <w:rFonts w:ascii="Times New Roman" w:hAnsi="Times New Roman" w:eastAsia="Times New Roman" w:cs="Times New Roman"/>
          <w:b w:val="0"/>
          <w:bCs w:val="0"/>
          <w:i w:val="0"/>
          <w:iCs w:val="0"/>
          <w:noProof w:val="0"/>
          <w:color w:val="auto"/>
          <w:sz w:val="26"/>
          <w:szCs w:val="26"/>
          <w:lang w:val="en-US"/>
        </w:rPr>
        <w:t>remain</w:t>
      </w:r>
      <w:r w:rsidRPr="43A80BFA" w:rsidR="1616BF36">
        <w:rPr>
          <w:rFonts w:ascii="Times New Roman" w:hAnsi="Times New Roman" w:eastAsia="Times New Roman" w:cs="Times New Roman"/>
          <w:b w:val="0"/>
          <w:bCs w:val="0"/>
          <w:i w:val="0"/>
          <w:iCs w:val="0"/>
          <w:noProof w:val="0"/>
          <w:color w:val="auto"/>
          <w:sz w:val="26"/>
          <w:szCs w:val="26"/>
          <w:lang w:val="en-US"/>
        </w:rPr>
        <w:t xml:space="preserve"> offline, creating significant disparities in access to education, healthcare, employment, and civic participation. This digital exclusion has profound implications for human development and social equity. This briefing paper examines the critical challenges and potential solutions for </w:t>
      </w:r>
      <w:r w:rsidRPr="43A80BFA" w:rsidR="1616BF36">
        <w:rPr>
          <w:rFonts w:ascii="Times New Roman" w:hAnsi="Times New Roman" w:eastAsia="Times New Roman" w:cs="Times New Roman"/>
          <w:b w:val="0"/>
          <w:bCs w:val="0"/>
          <w:i w:val="0"/>
          <w:iCs w:val="0"/>
          <w:noProof w:val="0"/>
          <w:color w:val="auto"/>
          <w:sz w:val="26"/>
          <w:szCs w:val="26"/>
          <w:lang w:val="en-US"/>
        </w:rPr>
        <w:t>establishing</w:t>
      </w:r>
      <w:r w:rsidRPr="43A80BFA" w:rsidR="1616BF36">
        <w:rPr>
          <w:rFonts w:ascii="Times New Roman" w:hAnsi="Times New Roman" w:eastAsia="Times New Roman" w:cs="Times New Roman"/>
          <w:b w:val="0"/>
          <w:bCs w:val="0"/>
          <w:i w:val="0"/>
          <w:iCs w:val="0"/>
          <w:noProof w:val="0"/>
          <w:color w:val="auto"/>
          <w:sz w:val="26"/>
          <w:szCs w:val="26"/>
          <w:lang w:val="en-US"/>
        </w:rPr>
        <w:t xml:space="preserve"> digital access as a fundamental human right, emphasizing the need for coordinated international action across public and private sectors. The document explores infrastructure development, economic accessibility, digital literacy, and regulatory frameworks necessary to achieve universal digital access.</w:t>
      </w:r>
    </w:p>
    <w:p w:rsidR="1616BF36" w:rsidP="43A80BFA" w:rsidRDefault="1616BF36" w14:paraId="0CD62E8A" w14:textId="7ED608DC">
      <w:pPr>
        <w:pStyle w:val="Heading3"/>
        <w:spacing w:before="281" w:beforeAutospacing="off" w:after="281" w:afterAutospacing="off"/>
        <w:rPr>
          <w:rFonts w:ascii="Times New Roman" w:hAnsi="Times New Roman" w:eastAsia="Times New Roman" w:cs="Times New Roman"/>
          <w:b w:val="1"/>
          <w:bCs w:val="1"/>
          <w:i w:val="0"/>
          <w:iCs w:val="0"/>
          <w:noProof w:val="0"/>
          <w:color w:val="auto"/>
          <w:sz w:val="28"/>
          <w:szCs w:val="28"/>
          <w:lang w:val="en-US"/>
        </w:rPr>
      </w:pPr>
      <w:r w:rsidRPr="43A80BFA" w:rsidR="1616BF36">
        <w:rPr>
          <w:rFonts w:ascii="Times New Roman" w:hAnsi="Times New Roman" w:eastAsia="Times New Roman" w:cs="Times New Roman"/>
          <w:b w:val="1"/>
          <w:bCs w:val="1"/>
          <w:i w:val="0"/>
          <w:iCs w:val="0"/>
          <w:noProof w:val="0"/>
          <w:color w:val="auto"/>
          <w:sz w:val="28"/>
          <w:szCs w:val="28"/>
          <w:lang w:val="en-US"/>
        </w:rPr>
        <w:t>Key Terms and Definitions:</w:t>
      </w:r>
    </w:p>
    <w:p w:rsidR="1616BF36" w:rsidP="43A80BFA" w:rsidRDefault="1616BF36" w14:paraId="4525E3CA" w14:textId="4138CE24">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Digital Access encompasses the ability to fully </w:t>
      </w:r>
      <w:r w:rsidRPr="43A80BFA" w:rsidR="1616BF36">
        <w:rPr>
          <w:rFonts w:ascii="Times New Roman" w:hAnsi="Times New Roman" w:eastAsia="Times New Roman" w:cs="Times New Roman"/>
          <w:b w:val="0"/>
          <w:bCs w:val="0"/>
          <w:i w:val="0"/>
          <w:iCs w:val="0"/>
          <w:noProof w:val="0"/>
          <w:color w:val="auto"/>
          <w:sz w:val="26"/>
          <w:szCs w:val="26"/>
          <w:lang w:val="en-US"/>
        </w:rPr>
        <w:t>participate</w:t>
      </w:r>
      <w:r w:rsidRPr="43A80BFA" w:rsidR="1616BF36">
        <w:rPr>
          <w:rFonts w:ascii="Times New Roman" w:hAnsi="Times New Roman" w:eastAsia="Times New Roman" w:cs="Times New Roman"/>
          <w:b w:val="0"/>
          <w:bCs w:val="0"/>
          <w:i w:val="0"/>
          <w:iCs w:val="0"/>
          <w:noProof w:val="0"/>
          <w:color w:val="auto"/>
          <w:sz w:val="26"/>
          <w:szCs w:val="26"/>
          <w:lang w:val="en-US"/>
        </w:rPr>
        <w:t xml:space="preserve"> in the digital world through reliable internet connectivity, </w:t>
      </w:r>
      <w:r w:rsidRPr="43A80BFA" w:rsidR="1616BF36">
        <w:rPr>
          <w:rFonts w:ascii="Times New Roman" w:hAnsi="Times New Roman" w:eastAsia="Times New Roman" w:cs="Times New Roman"/>
          <w:b w:val="0"/>
          <w:bCs w:val="0"/>
          <w:i w:val="0"/>
          <w:iCs w:val="0"/>
          <w:noProof w:val="0"/>
          <w:color w:val="auto"/>
          <w:sz w:val="26"/>
          <w:szCs w:val="26"/>
          <w:lang w:val="en-US"/>
        </w:rPr>
        <w:t>appropriate devices</w:t>
      </w:r>
      <w:r w:rsidRPr="43A80BFA" w:rsidR="1616BF36">
        <w:rPr>
          <w:rFonts w:ascii="Times New Roman" w:hAnsi="Times New Roman" w:eastAsia="Times New Roman" w:cs="Times New Roman"/>
          <w:b w:val="0"/>
          <w:bCs w:val="0"/>
          <w:i w:val="0"/>
          <w:iCs w:val="0"/>
          <w:noProof w:val="0"/>
          <w:color w:val="auto"/>
          <w:sz w:val="26"/>
          <w:szCs w:val="26"/>
          <w:lang w:val="en-US"/>
        </w:rPr>
        <w:t>, and the skills to use them effectively. This includes both physical access to technology and the ability to use it meaningfully.</w:t>
      </w:r>
    </w:p>
    <w:p w:rsidR="1616BF36" w:rsidP="43A80BFA" w:rsidRDefault="1616BF36" w14:paraId="7B233756" w14:textId="2DD11805">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The Digital Divide refers to the gap between individuals, households, businesses, and geographic areas </w:t>
      </w:r>
      <w:r w:rsidRPr="43A80BFA" w:rsidR="1616BF36">
        <w:rPr>
          <w:rFonts w:ascii="Times New Roman" w:hAnsi="Times New Roman" w:eastAsia="Times New Roman" w:cs="Times New Roman"/>
          <w:b w:val="0"/>
          <w:bCs w:val="0"/>
          <w:i w:val="0"/>
          <w:iCs w:val="0"/>
          <w:noProof w:val="0"/>
          <w:color w:val="auto"/>
          <w:sz w:val="26"/>
          <w:szCs w:val="26"/>
          <w:lang w:val="en-US"/>
        </w:rPr>
        <w:t>regarding</w:t>
      </w:r>
      <w:r w:rsidRPr="43A80BFA" w:rsidR="1616BF36">
        <w:rPr>
          <w:rFonts w:ascii="Times New Roman" w:hAnsi="Times New Roman" w:eastAsia="Times New Roman" w:cs="Times New Roman"/>
          <w:b w:val="0"/>
          <w:bCs w:val="0"/>
          <w:i w:val="0"/>
          <w:iCs w:val="0"/>
          <w:noProof w:val="0"/>
          <w:color w:val="auto"/>
          <w:sz w:val="26"/>
          <w:szCs w:val="26"/>
          <w:lang w:val="en-US"/>
        </w:rPr>
        <w:t xml:space="preserve"> their access to information and communication technologies. This divide manifests across multiple dimensions, including geography, income, gender, and age.</w:t>
      </w:r>
    </w:p>
    <w:p w:rsidR="1616BF36" w:rsidP="43A80BFA" w:rsidRDefault="1616BF36" w14:paraId="2FA3994F" w14:textId="0038F691">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Digital Literacy </w:t>
      </w:r>
      <w:r w:rsidRPr="43A80BFA" w:rsidR="1616BF36">
        <w:rPr>
          <w:rFonts w:ascii="Times New Roman" w:hAnsi="Times New Roman" w:eastAsia="Times New Roman" w:cs="Times New Roman"/>
          <w:b w:val="0"/>
          <w:bCs w:val="0"/>
          <w:i w:val="0"/>
          <w:iCs w:val="0"/>
          <w:noProof w:val="0"/>
          <w:color w:val="auto"/>
          <w:sz w:val="26"/>
          <w:szCs w:val="26"/>
          <w:lang w:val="en-US"/>
        </w:rPr>
        <w:t>represents</w:t>
      </w:r>
      <w:r w:rsidRPr="43A80BFA" w:rsidR="1616BF36">
        <w:rPr>
          <w:rFonts w:ascii="Times New Roman" w:hAnsi="Times New Roman" w:eastAsia="Times New Roman" w:cs="Times New Roman"/>
          <w:b w:val="0"/>
          <w:bCs w:val="0"/>
          <w:i w:val="0"/>
          <w:iCs w:val="0"/>
          <w:noProof w:val="0"/>
          <w:color w:val="auto"/>
          <w:sz w:val="26"/>
          <w:szCs w:val="26"/>
          <w:lang w:val="en-US"/>
        </w:rPr>
        <w:t xml:space="preserve"> the ability to use digital technologies effectively, including skills in accessing, managing, evaluating, and creating information through digital platforms. This encompasses both basic operational skills and higher-order critical thinking abilities.</w:t>
      </w:r>
    </w:p>
    <w:p w:rsidR="1616BF36" w:rsidP="43A80BFA" w:rsidRDefault="1616BF36" w14:paraId="60B3BFBA" w14:textId="4534C66A">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Digital Inclusion describes the process of ensuring all individuals and communities have access to and can effectively use digital technologies, regardless of socioeconomic status, geographic location, or other potential barriers. This concept emphasizes both access and meaningful participation.</w:t>
      </w:r>
    </w:p>
    <w:p w:rsidR="43A80BFA" w:rsidP="43A80BFA" w:rsidRDefault="43A80BFA" w14:paraId="209C69A8" w14:textId="73372B11">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p>
    <w:p w:rsidR="1616BF36" w:rsidP="43A80BFA" w:rsidRDefault="1616BF36" w14:paraId="509F16F2" w14:textId="62CFA744">
      <w:pPr>
        <w:pStyle w:val="Heading3"/>
        <w:spacing w:before="281" w:beforeAutospacing="off" w:after="281" w:afterAutospacing="off"/>
        <w:rPr>
          <w:rFonts w:ascii="Times New Roman" w:hAnsi="Times New Roman" w:eastAsia="Times New Roman" w:cs="Times New Roman"/>
          <w:b w:val="1"/>
          <w:bCs w:val="1"/>
          <w:i w:val="0"/>
          <w:iCs w:val="0"/>
          <w:noProof w:val="0"/>
          <w:color w:val="auto"/>
          <w:sz w:val="28"/>
          <w:szCs w:val="28"/>
          <w:lang w:val="en-US"/>
        </w:rPr>
      </w:pPr>
      <w:r w:rsidRPr="43A80BFA" w:rsidR="1616BF36">
        <w:rPr>
          <w:rFonts w:ascii="Times New Roman" w:hAnsi="Times New Roman" w:eastAsia="Times New Roman" w:cs="Times New Roman"/>
          <w:b w:val="1"/>
          <w:bCs w:val="1"/>
          <w:i w:val="0"/>
          <w:iCs w:val="0"/>
          <w:noProof w:val="0"/>
          <w:color w:val="auto"/>
          <w:sz w:val="28"/>
          <w:szCs w:val="28"/>
          <w:lang w:val="en-US"/>
        </w:rPr>
        <w:t>Introduction and Historical Context:</w:t>
      </w:r>
    </w:p>
    <w:p w:rsidR="1616BF36" w:rsidP="43A80BFA" w:rsidRDefault="1616BF36" w14:paraId="0407806F" w14:textId="1856D2F9">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The concept of digital access as a human right has evolved from traditional frameworks, particularly the Universal Declaration of Human Rights (1948), which </w:t>
      </w:r>
      <w:r w:rsidRPr="43A80BFA" w:rsidR="1616BF36">
        <w:rPr>
          <w:rFonts w:ascii="Times New Roman" w:hAnsi="Times New Roman" w:eastAsia="Times New Roman" w:cs="Times New Roman"/>
          <w:b w:val="0"/>
          <w:bCs w:val="0"/>
          <w:i w:val="0"/>
          <w:iCs w:val="0"/>
          <w:noProof w:val="0"/>
          <w:color w:val="auto"/>
          <w:sz w:val="26"/>
          <w:szCs w:val="26"/>
          <w:lang w:val="en-US"/>
        </w:rPr>
        <w:t>established</w:t>
      </w:r>
      <w:r w:rsidRPr="43A80BFA" w:rsidR="1616BF36">
        <w:rPr>
          <w:rFonts w:ascii="Times New Roman" w:hAnsi="Times New Roman" w:eastAsia="Times New Roman" w:cs="Times New Roman"/>
          <w:b w:val="0"/>
          <w:bCs w:val="0"/>
          <w:i w:val="0"/>
          <w:iCs w:val="0"/>
          <w:noProof w:val="0"/>
          <w:color w:val="auto"/>
          <w:sz w:val="26"/>
          <w:szCs w:val="26"/>
          <w:lang w:val="en-US"/>
        </w:rPr>
        <w:t xml:space="preserve"> foundational principles of expression and participation that now extend to the digital realm. Recent initiatives have </w:t>
      </w:r>
      <w:r w:rsidRPr="43A80BFA" w:rsidR="1616BF36">
        <w:rPr>
          <w:rFonts w:ascii="Times New Roman" w:hAnsi="Times New Roman" w:eastAsia="Times New Roman" w:cs="Times New Roman"/>
          <w:b w:val="0"/>
          <w:bCs w:val="0"/>
          <w:i w:val="0"/>
          <w:iCs w:val="0"/>
          <w:noProof w:val="0"/>
          <w:color w:val="auto"/>
          <w:sz w:val="26"/>
          <w:szCs w:val="26"/>
          <w:lang w:val="en-US"/>
        </w:rPr>
        <w:t>substantially strengthened</w:t>
      </w:r>
      <w:r w:rsidRPr="43A80BFA" w:rsidR="1616BF36">
        <w:rPr>
          <w:rFonts w:ascii="Times New Roman" w:hAnsi="Times New Roman" w:eastAsia="Times New Roman" w:cs="Times New Roman"/>
          <w:b w:val="0"/>
          <w:bCs w:val="0"/>
          <w:i w:val="0"/>
          <w:iCs w:val="0"/>
          <w:noProof w:val="0"/>
          <w:color w:val="auto"/>
          <w:sz w:val="26"/>
          <w:szCs w:val="26"/>
          <w:lang w:val="en-US"/>
        </w:rPr>
        <w:t xml:space="preserve"> this framework, with the UN Human Rights Council Resolution 32/13 (2016) marking a significant milestone by explicitly recognizing internet access as a basic right. The ITU Connect 2030 Agenda further advanced this cause by </w:t>
      </w:r>
      <w:r w:rsidRPr="43A80BFA" w:rsidR="1616BF36">
        <w:rPr>
          <w:rFonts w:ascii="Times New Roman" w:hAnsi="Times New Roman" w:eastAsia="Times New Roman" w:cs="Times New Roman"/>
          <w:b w:val="0"/>
          <w:bCs w:val="0"/>
          <w:i w:val="0"/>
          <w:iCs w:val="0"/>
          <w:noProof w:val="0"/>
          <w:color w:val="auto"/>
          <w:sz w:val="26"/>
          <w:szCs w:val="26"/>
          <w:lang w:val="en-US"/>
        </w:rPr>
        <w:t>establishing</w:t>
      </w:r>
      <w:r w:rsidRPr="43A80BFA" w:rsidR="1616BF36">
        <w:rPr>
          <w:rFonts w:ascii="Times New Roman" w:hAnsi="Times New Roman" w:eastAsia="Times New Roman" w:cs="Times New Roman"/>
          <w:b w:val="0"/>
          <w:bCs w:val="0"/>
          <w:i w:val="0"/>
          <w:iCs w:val="0"/>
          <w:noProof w:val="0"/>
          <w:color w:val="auto"/>
          <w:sz w:val="26"/>
          <w:szCs w:val="26"/>
          <w:lang w:val="en-US"/>
        </w:rPr>
        <w:t xml:space="preserve"> concrete targets for universal connectivity and digital inclusion.</w:t>
      </w:r>
    </w:p>
    <w:p w:rsidR="1616BF36" w:rsidP="43A80BFA" w:rsidRDefault="1616BF36" w14:paraId="55EAF3DB" w14:textId="1005B2F4">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UNESCO's Recommendation on Open Educational Resources (2019) has expanded the scope of digital rights by emphasizing the importance of accessible digital learning materials. These efforts align closely with the United Nations Sustainable Development Goals, particularly SDG 9 and SDG 10, which emphasize the role of digital access in reducing inequalities and promoting sustainable development.</w:t>
      </w:r>
    </w:p>
    <w:p w:rsidR="43A80BFA" w:rsidP="43A80BFA" w:rsidRDefault="43A80BFA" w14:paraId="7BB2539F" w14:textId="560BFB34">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p>
    <w:p w:rsidR="1616BF36" w:rsidP="43A80BFA" w:rsidRDefault="1616BF36" w14:paraId="0925B87B" w14:textId="6364C2FF">
      <w:pPr>
        <w:pStyle w:val="Heading3"/>
        <w:spacing w:before="281" w:beforeAutospacing="off" w:after="281" w:afterAutospacing="off"/>
        <w:rPr>
          <w:rFonts w:ascii="Times New Roman" w:hAnsi="Times New Roman" w:eastAsia="Times New Roman" w:cs="Times New Roman"/>
          <w:b w:val="1"/>
          <w:bCs w:val="1"/>
          <w:i w:val="0"/>
          <w:iCs w:val="0"/>
          <w:noProof w:val="0"/>
          <w:color w:val="auto"/>
          <w:sz w:val="28"/>
          <w:szCs w:val="28"/>
          <w:lang w:val="en-US"/>
        </w:rPr>
      </w:pPr>
      <w:r w:rsidRPr="43A80BFA" w:rsidR="1616BF36">
        <w:rPr>
          <w:rFonts w:ascii="Times New Roman" w:hAnsi="Times New Roman" w:eastAsia="Times New Roman" w:cs="Times New Roman"/>
          <w:b w:val="1"/>
          <w:bCs w:val="1"/>
          <w:i w:val="0"/>
          <w:iCs w:val="0"/>
          <w:noProof w:val="0"/>
          <w:color w:val="auto"/>
          <w:sz w:val="28"/>
          <w:szCs w:val="28"/>
          <w:lang w:val="en-US"/>
        </w:rPr>
        <w:t>Current Global Situation:</w:t>
      </w:r>
    </w:p>
    <w:p w:rsidR="1616BF36" w:rsidP="43A80BFA" w:rsidRDefault="1616BF36" w14:paraId="27889B32" w14:textId="6EBF89E9">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The digital divide manifests across multiple dimensions, creating complex patterns of exclusion and inequality. Geographic disparities </w:t>
      </w:r>
      <w:r w:rsidRPr="43A80BFA" w:rsidR="1616BF36">
        <w:rPr>
          <w:rFonts w:ascii="Times New Roman" w:hAnsi="Times New Roman" w:eastAsia="Times New Roman" w:cs="Times New Roman"/>
          <w:b w:val="0"/>
          <w:bCs w:val="0"/>
          <w:i w:val="0"/>
          <w:iCs w:val="0"/>
          <w:noProof w:val="0"/>
          <w:color w:val="auto"/>
          <w:sz w:val="26"/>
          <w:szCs w:val="26"/>
          <w:lang w:val="en-US"/>
        </w:rPr>
        <w:t>remain</w:t>
      </w:r>
      <w:r w:rsidRPr="43A80BFA" w:rsidR="1616BF36">
        <w:rPr>
          <w:rFonts w:ascii="Times New Roman" w:hAnsi="Times New Roman" w:eastAsia="Times New Roman" w:cs="Times New Roman"/>
          <w:b w:val="0"/>
          <w:bCs w:val="0"/>
          <w:i w:val="0"/>
          <w:iCs w:val="0"/>
          <w:noProof w:val="0"/>
          <w:color w:val="auto"/>
          <w:sz w:val="26"/>
          <w:szCs w:val="26"/>
          <w:lang w:val="en-US"/>
        </w:rPr>
        <w:t xml:space="preserve"> particularly stark, with Sub-Saharan Africa reporting only 33% internet penetration compared to 90% in Europe. This regional disparity reflects deeper structural inequalities in global development and infrastructure investment.</w:t>
      </w:r>
    </w:p>
    <w:p w:rsidR="1616BF36" w:rsidP="43A80BFA" w:rsidRDefault="1616BF36" w14:paraId="400CC8FA" w14:textId="1C20DF54">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Economic barriers present significant challenges to universal access. In many countries, the cost of basic internet packages exceeds 20% of individual income, making regular access prohibitively expensive. Device costs create an </w:t>
      </w:r>
      <w:r w:rsidRPr="43A80BFA" w:rsidR="1616BF36">
        <w:rPr>
          <w:rFonts w:ascii="Times New Roman" w:hAnsi="Times New Roman" w:eastAsia="Times New Roman" w:cs="Times New Roman"/>
          <w:b w:val="0"/>
          <w:bCs w:val="0"/>
          <w:i w:val="0"/>
          <w:iCs w:val="0"/>
          <w:noProof w:val="0"/>
          <w:color w:val="auto"/>
          <w:sz w:val="26"/>
          <w:szCs w:val="26"/>
          <w:lang w:val="en-US"/>
        </w:rPr>
        <w:t>additional</w:t>
      </w:r>
      <w:r w:rsidRPr="43A80BFA" w:rsidR="1616BF36">
        <w:rPr>
          <w:rFonts w:ascii="Times New Roman" w:hAnsi="Times New Roman" w:eastAsia="Times New Roman" w:cs="Times New Roman"/>
          <w:b w:val="0"/>
          <w:bCs w:val="0"/>
          <w:i w:val="0"/>
          <w:iCs w:val="0"/>
          <w:noProof w:val="0"/>
          <w:color w:val="auto"/>
          <w:sz w:val="26"/>
          <w:szCs w:val="26"/>
          <w:lang w:val="en-US"/>
        </w:rPr>
        <w:t xml:space="preserve"> barrier to entry, particularly in developing nations where limited competition and high import costs drive up prices. The </w:t>
      </w:r>
      <w:r w:rsidRPr="43A80BFA" w:rsidR="1616BF36">
        <w:rPr>
          <w:rFonts w:ascii="Times New Roman" w:hAnsi="Times New Roman" w:eastAsia="Times New Roman" w:cs="Times New Roman"/>
          <w:b w:val="0"/>
          <w:bCs w:val="0"/>
          <w:i w:val="0"/>
          <w:iCs w:val="0"/>
          <w:noProof w:val="0"/>
          <w:color w:val="auto"/>
          <w:sz w:val="26"/>
          <w:szCs w:val="26"/>
          <w:lang w:val="en-US"/>
        </w:rPr>
        <w:t>high costs</w:t>
      </w:r>
      <w:r w:rsidRPr="43A80BFA" w:rsidR="1616BF36">
        <w:rPr>
          <w:rFonts w:ascii="Times New Roman" w:hAnsi="Times New Roman" w:eastAsia="Times New Roman" w:cs="Times New Roman"/>
          <w:b w:val="0"/>
          <w:bCs w:val="0"/>
          <w:i w:val="0"/>
          <w:iCs w:val="0"/>
          <w:noProof w:val="0"/>
          <w:color w:val="auto"/>
          <w:sz w:val="26"/>
          <w:szCs w:val="26"/>
          <w:lang w:val="en-US"/>
        </w:rPr>
        <w:t xml:space="preserve"> associated with infrastructure development create market failures in low-density areas, further perpetuating access disparities.</w:t>
      </w:r>
    </w:p>
    <w:p w:rsidR="1616BF36" w:rsidP="43A80BFA" w:rsidRDefault="1616BF36" w14:paraId="5E68E54C" w14:textId="20BB2084">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Social inequalities compound these technical and economic challenges. Gender gaps in digital access persist, particularly in conservative societies where cultural norms may limit women's access to technology. Persons with disabilities face </w:t>
      </w:r>
      <w:r w:rsidRPr="43A80BFA" w:rsidR="1616BF36">
        <w:rPr>
          <w:rFonts w:ascii="Times New Roman" w:hAnsi="Times New Roman" w:eastAsia="Times New Roman" w:cs="Times New Roman"/>
          <w:b w:val="0"/>
          <w:bCs w:val="0"/>
          <w:i w:val="0"/>
          <w:iCs w:val="0"/>
          <w:noProof w:val="0"/>
          <w:color w:val="auto"/>
          <w:sz w:val="26"/>
          <w:szCs w:val="26"/>
          <w:lang w:val="en-US"/>
        </w:rPr>
        <w:t>additional</w:t>
      </w:r>
      <w:r w:rsidRPr="43A80BFA" w:rsidR="1616BF36">
        <w:rPr>
          <w:rFonts w:ascii="Times New Roman" w:hAnsi="Times New Roman" w:eastAsia="Times New Roman" w:cs="Times New Roman"/>
          <w:b w:val="0"/>
          <w:bCs w:val="0"/>
          <w:i w:val="0"/>
          <w:iCs w:val="0"/>
          <w:noProof w:val="0"/>
          <w:color w:val="auto"/>
          <w:sz w:val="26"/>
          <w:szCs w:val="26"/>
          <w:lang w:val="en-US"/>
        </w:rPr>
        <w:t xml:space="preserve"> barriers to meaningful access, often requiring specialized equipment or modifications that may be unavailable or unaffordable. Age-related digital literacy gaps affect older populations disproportionately, creating generational divisions in digital participation.</w:t>
      </w:r>
    </w:p>
    <w:p w:rsidR="43A80BFA" w:rsidP="43A80BFA" w:rsidRDefault="43A80BFA" w14:paraId="5AED37FC" w14:textId="7090CE78">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p>
    <w:p w:rsidR="1616BF36" w:rsidP="43A80BFA" w:rsidRDefault="1616BF36" w14:paraId="6CDEABAF" w14:textId="20E6E230">
      <w:pPr>
        <w:pStyle w:val="Heading3"/>
        <w:spacing w:before="281" w:beforeAutospacing="off" w:after="281" w:afterAutospacing="off"/>
        <w:rPr>
          <w:rFonts w:ascii="Times New Roman" w:hAnsi="Times New Roman" w:eastAsia="Times New Roman" w:cs="Times New Roman"/>
          <w:b w:val="1"/>
          <w:bCs w:val="1"/>
          <w:i w:val="0"/>
          <w:iCs w:val="0"/>
          <w:noProof w:val="0"/>
          <w:color w:val="auto"/>
          <w:sz w:val="28"/>
          <w:szCs w:val="28"/>
          <w:lang w:val="en-US"/>
        </w:rPr>
      </w:pPr>
      <w:r w:rsidRPr="43A80BFA" w:rsidR="1616BF36">
        <w:rPr>
          <w:rFonts w:ascii="Times New Roman" w:hAnsi="Times New Roman" w:eastAsia="Times New Roman" w:cs="Times New Roman"/>
          <w:b w:val="1"/>
          <w:bCs w:val="1"/>
          <w:i w:val="0"/>
          <w:iCs w:val="0"/>
          <w:noProof w:val="0"/>
          <w:color w:val="auto"/>
          <w:sz w:val="28"/>
          <w:szCs w:val="28"/>
          <w:lang w:val="en-US"/>
        </w:rPr>
        <w:t>Critical Challenges</w:t>
      </w:r>
      <w:r w:rsidRPr="43A80BFA" w:rsidR="012E497A">
        <w:rPr>
          <w:rFonts w:ascii="Times New Roman" w:hAnsi="Times New Roman" w:eastAsia="Times New Roman" w:cs="Times New Roman"/>
          <w:b w:val="1"/>
          <w:bCs w:val="1"/>
          <w:i w:val="0"/>
          <w:iCs w:val="0"/>
          <w:noProof w:val="0"/>
          <w:color w:val="auto"/>
          <w:sz w:val="28"/>
          <w:szCs w:val="28"/>
          <w:lang w:val="en-US"/>
        </w:rPr>
        <w:t>:</w:t>
      </w:r>
    </w:p>
    <w:p w:rsidR="1616BF36" w:rsidP="43A80BFA" w:rsidRDefault="1616BF36" w14:paraId="1BFD5BD5" w14:textId="547FD841">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Infrastructure development </w:t>
      </w:r>
      <w:r w:rsidRPr="43A80BFA" w:rsidR="1616BF36">
        <w:rPr>
          <w:rFonts w:ascii="Times New Roman" w:hAnsi="Times New Roman" w:eastAsia="Times New Roman" w:cs="Times New Roman"/>
          <w:b w:val="0"/>
          <w:bCs w:val="0"/>
          <w:i w:val="0"/>
          <w:iCs w:val="0"/>
          <w:noProof w:val="0"/>
          <w:color w:val="auto"/>
          <w:sz w:val="26"/>
          <w:szCs w:val="26"/>
          <w:lang w:val="en-US"/>
        </w:rPr>
        <w:t>remains</w:t>
      </w:r>
      <w:r w:rsidRPr="43A80BFA" w:rsidR="1616BF36">
        <w:rPr>
          <w:rFonts w:ascii="Times New Roman" w:hAnsi="Times New Roman" w:eastAsia="Times New Roman" w:cs="Times New Roman"/>
          <w:b w:val="0"/>
          <w:bCs w:val="0"/>
          <w:i w:val="0"/>
          <w:iCs w:val="0"/>
          <w:noProof w:val="0"/>
          <w:color w:val="auto"/>
          <w:sz w:val="26"/>
          <w:szCs w:val="26"/>
          <w:lang w:val="en-US"/>
        </w:rPr>
        <w:t xml:space="preserve"> fundamental to ensuring universal digital access, particularly in developing nations and rural areas. The challenge of last-mile connectivity in remote regions requires innovative solutions and significant investment. Sustainable energy access compounds these difficulties, as reliable power supply is essential for consistent digital access.</w:t>
      </w:r>
    </w:p>
    <w:p w:rsidR="1616BF36" w:rsidP="43A80BFA" w:rsidRDefault="1616BF36" w14:paraId="78DE3E8C" w14:textId="50515BEE">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Economic accessibility poses ongoing challenges through high device costs and service fees. Limited competition in telecommunications markets often results in elevated prices, while infrastructure maintenance expenses create ongoing cost pressures. The need for sustainable funding mechanisms to support universal access initiatives presents a significant challenge for policymakers and international organizations.</w:t>
      </w:r>
    </w:p>
    <w:p w:rsidR="1616BF36" w:rsidP="43A80BFA" w:rsidRDefault="1616BF36" w14:paraId="4E12041D" w14:textId="7E88497B">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Digital literacy and skills development require significant attention, especially in educational systems lacking comprehensive digital training programs. The challenge extends beyond basic operational skills to include critical thinking and digital citizenship. Cultural barriers and language limitations can impede technology adoption in certain communities.</w:t>
      </w:r>
    </w:p>
    <w:p w:rsidR="1616BF36" w:rsidP="43A80BFA" w:rsidRDefault="1616BF36" w14:paraId="1CB870AD" w14:textId="131DF690">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Cybersecurity and privacy concerns </w:t>
      </w:r>
      <w:r w:rsidRPr="43A80BFA" w:rsidR="1616BF36">
        <w:rPr>
          <w:rFonts w:ascii="Times New Roman" w:hAnsi="Times New Roman" w:eastAsia="Times New Roman" w:cs="Times New Roman"/>
          <w:b w:val="0"/>
          <w:bCs w:val="0"/>
          <w:i w:val="0"/>
          <w:iCs w:val="0"/>
          <w:noProof w:val="0"/>
          <w:color w:val="auto"/>
          <w:sz w:val="26"/>
          <w:szCs w:val="26"/>
          <w:lang w:val="en-US"/>
        </w:rPr>
        <w:t>necessitate</w:t>
      </w:r>
      <w:r w:rsidRPr="43A80BFA" w:rsidR="1616BF36">
        <w:rPr>
          <w:rFonts w:ascii="Times New Roman" w:hAnsi="Times New Roman" w:eastAsia="Times New Roman" w:cs="Times New Roman"/>
          <w:b w:val="0"/>
          <w:bCs w:val="0"/>
          <w:i w:val="0"/>
          <w:iCs w:val="0"/>
          <w:noProof w:val="0"/>
          <w:color w:val="auto"/>
          <w:sz w:val="26"/>
          <w:szCs w:val="26"/>
          <w:lang w:val="en-US"/>
        </w:rPr>
        <w:t xml:space="preserve"> robust protection frameworks while </w:t>
      </w:r>
      <w:r w:rsidRPr="43A80BFA" w:rsidR="1616BF36">
        <w:rPr>
          <w:rFonts w:ascii="Times New Roman" w:hAnsi="Times New Roman" w:eastAsia="Times New Roman" w:cs="Times New Roman"/>
          <w:b w:val="0"/>
          <w:bCs w:val="0"/>
          <w:i w:val="0"/>
          <w:iCs w:val="0"/>
          <w:noProof w:val="0"/>
          <w:color w:val="auto"/>
          <w:sz w:val="26"/>
          <w:szCs w:val="26"/>
          <w:lang w:val="en-US"/>
        </w:rPr>
        <w:t>maintaining</w:t>
      </w:r>
      <w:r w:rsidRPr="43A80BFA" w:rsidR="1616BF36">
        <w:rPr>
          <w:rFonts w:ascii="Times New Roman" w:hAnsi="Times New Roman" w:eastAsia="Times New Roman" w:cs="Times New Roman"/>
          <w:b w:val="0"/>
          <w:bCs w:val="0"/>
          <w:i w:val="0"/>
          <w:iCs w:val="0"/>
          <w:noProof w:val="0"/>
          <w:color w:val="auto"/>
          <w:sz w:val="26"/>
          <w:szCs w:val="26"/>
          <w:lang w:val="en-US"/>
        </w:rPr>
        <w:t xml:space="preserve"> accessibility. The increasing sophistication of cyber threats requires ongoing investment in security infrastructure and user education. Cross-border data governance issues demand international cooperation and coordination.</w:t>
      </w:r>
    </w:p>
    <w:p w:rsidR="43A80BFA" w:rsidP="43A80BFA" w:rsidRDefault="43A80BFA" w14:paraId="14866E8E" w14:textId="1F0F95EF">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p>
    <w:p w:rsidR="1616BF36" w:rsidP="43A80BFA" w:rsidRDefault="1616BF36" w14:paraId="7998D416" w14:textId="67A9ADDB">
      <w:pPr>
        <w:pStyle w:val="Heading3"/>
        <w:spacing w:before="281" w:beforeAutospacing="off" w:after="281" w:afterAutospacing="off"/>
        <w:rPr>
          <w:rFonts w:ascii="Times New Roman" w:hAnsi="Times New Roman" w:eastAsia="Times New Roman" w:cs="Times New Roman"/>
          <w:b w:val="1"/>
          <w:bCs w:val="1"/>
          <w:i w:val="0"/>
          <w:iCs w:val="0"/>
          <w:noProof w:val="0"/>
          <w:color w:val="auto"/>
          <w:sz w:val="28"/>
          <w:szCs w:val="28"/>
          <w:lang w:val="en-US"/>
        </w:rPr>
      </w:pPr>
      <w:r w:rsidRPr="43A80BFA" w:rsidR="1616BF36">
        <w:rPr>
          <w:rFonts w:ascii="Times New Roman" w:hAnsi="Times New Roman" w:eastAsia="Times New Roman" w:cs="Times New Roman"/>
          <w:b w:val="1"/>
          <w:bCs w:val="1"/>
          <w:i w:val="0"/>
          <w:iCs w:val="0"/>
          <w:noProof w:val="0"/>
          <w:color w:val="auto"/>
          <w:sz w:val="28"/>
          <w:szCs w:val="28"/>
          <w:lang w:val="en-US"/>
        </w:rPr>
        <w:t>International Response Mechanisms</w:t>
      </w:r>
      <w:r w:rsidRPr="43A80BFA" w:rsidR="6C31FBB1">
        <w:rPr>
          <w:rFonts w:ascii="Times New Roman" w:hAnsi="Times New Roman" w:eastAsia="Times New Roman" w:cs="Times New Roman"/>
          <w:b w:val="1"/>
          <w:bCs w:val="1"/>
          <w:i w:val="0"/>
          <w:iCs w:val="0"/>
          <w:noProof w:val="0"/>
          <w:color w:val="auto"/>
          <w:sz w:val="28"/>
          <w:szCs w:val="28"/>
          <w:lang w:val="en-US"/>
        </w:rPr>
        <w:t>:</w:t>
      </w:r>
    </w:p>
    <w:p w:rsidR="1616BF36" w:rsidP="43A80BFA" w:rsidRDefault="1616BF36" w14:paraId="767A4628" w14:textId="5FA4F840">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The global community has developed various approaches to address digital access challenges. Public-private partnerships have </w:t>
      </w:r>
      <w:r w:rsidRPr="43A80BFA" w:rsidR="1616BF36">
        <w:rPr>
          <w:rFonts w:ascii="Times New Roman" w:hAnsi="Times New Roman" w:eastAsia="Times New Roman" w:cs="Times New Roman"/>
          <w:b w:val="0"/>
          <w:bCs w:val="0"/>
          <w:i w:val="0"/>
          <w:iCs w:val="0"/>
          <w:noProof w:val="0"/>
          <w:color w:val="auto"/>
          <w:sz w:val="26"/>
          <w:szCs w:val="26"/>
          <w:lang w:val="en-US"/>
        </w:rPr>
        <w:t>emerged</w:t>
      </w:r>
      <w:r w:rsidRPr="43A80BFA" w:rsidR="1616BF36">
        <w:rPr>
          <w:rFonts w:ascii="Times New Roman" w:hAnsi="Times New Roman" w:eastAsia="Times New Roman" w:cs="Times New Roman"/>
          <w:b w:val="0"/>
          <w:bCs w:val="0"/>
          <w:i w:val="0"/>
          <w:iCs w:val="0"/>
          <w:noProof w:val="0"/>
          <w:color w:val="auto"/>
          <w:sz w:val="26"/>
          <w:szCs w:val="26"/>
          <w:lang w:val="en-US"/>
        </w:rPr>
        <w:t xml:space="preserve"> as a crucial mechanism for expanding digital access, with the World Bank's Digital Development Partnership exemplifying this approach by bringing together government resources and private sector </w:t>
      </w:r>
      <w:r w:rsidRPr="43A80BFA" w:rsidR="1616BF36">
        <w:rPr>
          <w:rFonts w:ascii="Times New Roman" w:hAnsi="Times New Roman" w:eastAsia="Times New Roman" w:cs="Times New Roman"/>
          <w:b w:val="0"/>
          <w:bCs w:val="0"/>
          <w:i w:val="0"/>
          <w:iCs w:val="0"/>
          <w:noProof w:val="0"/>
          <w:color w:val="auto"/>
          <w:sz w:val="26"/>
          <w:szCs w:val="26"/>
          <w:lang w:val="en-US"/>
        </w:rPr>
        <w:t>expertise</w:t>
      </w:r>
      <w:r w:rsidRPr="43A80BFA" w:rsidR="1616BF36">
        <w:rPr>
          <w:rFonts w:ascii="Times New Roman" w:hAnsi="Times New Roman" w:eastAsia="Times New Roman" w:cs="Times New Roman"/>
          <w:b w:val="0"/>
          <w:bCs w:val="0"/>
          <w:i w:val="0"/>
          <w:iCs w:val="0"/>
          <w:noProof w:val="0"/>
          <w:color w:val="auto"/>
          <w:sz w:val="26"/>
          <w:szCs w:val="26"/>
          <w:lang w:val="en-US"/>
        </w:rPr>
        <w:t xml:space="preserve">. These partnerships </w:t>
      </w:r>
      <w:r w:rsidRPr="43A80BFA" w:rsidR="1616BF36">
        <w:rPr>
          <w:rFonts w:ascii="Times New Roman" w:hAnsi="Times New Roman" w:eastAsia="Times New Roman" w:cs="Times New Roman"/>
          <w:b w:val="0"/>
          <w:bCs w:val="0"/>
          <w:i w:val="0"/>
          <w:iCs w:val="0"/>
          <w:noProof w:val="0"/>
          <w:color w:val="auto"/>
          <w:sz w:val="26"/>
          <w:szCs w:val="26"/>
          <w:lang w:val="en-US"/>
        </w:rPr>
        <w:t>leverage</w:t>
      </w:r>
      <w:r w:rsidRPr="43A80BFA" w:rsidR="1616BF36">
        <w:rPr>
          <w:rFonts w:ascii="Times New Roman" w:hAnsi="Times New Roman" w:eastAsia="Times New Roman" w:cs="Times New Roman"/>
          <w:b w:val="0"/>
          <w:bCs w:val="0"/>
          <w:i w:val="0"/>
          <w:iCs w:val="0"/>
          <w:noProof w:val="0"/>
          <w:color w:val="auto"/>
          <w:sz w:val="26"/>
          <w:szCs w:val="26"/>
          <w:lang w:val="en-US"/>
        </w:rPr>
        <w:t xml:space="preserve"> the efficiency and innovation of the private sector while </w:t>
      </w:r>
      <w:r w:rsidRPr="43A80BFA" w:rsidR="1616BF36">
        <w:rPr>
          <w:rFonts w:ascii="Times New Roman" w:hAnsi="Times New Roman" w:eastAsia="Times New Roman" w:cs="Times New Roman"/>
          <w:b w:val="0"/>
          <w:bCs w:val="0"/>
          <w:i w:val="0"/>
          <w:iCs w:val="0"/>
          <w:noProof w:val="0"/>
          <w:color w:val="auto"/>
          <w:sz w:val="26"/>
          <w:szCs w:val="26"/>
          <w:lang w:val="en-US"/>
        </w:rPr>
        <w:t>maintaining</w:t>
      </w:r>
      <w:r w:rsidRPr="43A80BFA" w:rsidR="1616BF36">
        <w:rPr>
          <w:rFonts w:ascii="Times New Roman" w:hAnsi="Times New Roman" w:eastAsia="Times New Roman" w:cs="Times New Roman"/>
          <w:b w:val="0"/>
          <w:bCs w:val="0"/>
          <w:i w:val="0"/>
          <w:iCs w:val="0"/>
          <w:noProof w:val="0"/>
          <w:color w:val="auto"/>
          <w:sz w:val="26"/>
          <w:szCs w:val="26"/>
          <w:lang w:val="en-US"/>
        </w:rPr>
        <w:t xml:space="preserve"> public oversight and social responsibility.</w:t>
      </w:r>
    </w:p>
    <w:p w:rsidR="1616BF36" w:rsidP="43A80BFA" w:rsidRDefault="1616BF36" w14:paraId="00CC6B44" w14:textId="40389A36">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Regional programs have </w:t>
      </w:r>
      <w:r w:rsidRPr="43A80BFA" w:rsidR="1616BF36">
        <w:rPr>
          <w:rFonts w:ascii="Times New Roman" w:hAnsi="Times New Roman" w:eastAsia="Times New Roman" w:cs="Times New Roman"/>
          <w:b w:val="0"/>
          <w:bCs w:val="0"/>
          <w:i w:val="0"/>
          <w:iCs w:val="0"/>
          <w:noProof w:val="0"/>
          <w:color w:val="auto"/>
          <w:sz w:val="26"/>
          <w:szCs w:val="26"/>
          <w:lang w:val="en-US"/>
        </w:rPr>
        <w:t>demonstrated</w:t>
      </w:r>
      <w:r w:rsidRPr="43A80BFA" w:rsidR="1616BF36">
        <w:rPr>
          <w:rFonts w:ascii="Times New Roman" w:hAnsi="Times New Roman" w:eastAsia="Times New Roman" w:cs="Times New Roman"/>
          <w:b w:val="0"/>
          <w:bCs w:val="0"/>
          <w:i w:val="0"/>
          <w:iCs w:val="0"/>
          <w:noProof w:val="0"/>
          <w:color w:val="auto"/>
          <w:sz w:val="26"/>
          <w:szCs w:val="26"/>
          <w:lang w:val="en-US"/>
        </w:rPr>
        <w:t xml:space="preserve"> significant promise in advancing digital access. The European Union's Digital Services Act </w:t>
      </w:r>
      <w:r w:rsidRPr="43A80BFA" w:rsidR="1616BF36">
        <w:rPr>
          <w:rFonts w:ascii="Times New Roman" w:hAnsi="Times New Roman" w:eastAsia="Times New Roman" w:cs="Times New Roman"/>
          <w:b w:val="0"/>
          <w:bCs w:val="0"/>
          <w:i w:val="0"/>
          <w:iCs w:val="0"/>
          <w:noProof w:val="0"/>
          <w:color w:val="auto"/>
          <w:sz w:val="26"/>
          <w:szCs w:val="26"/>
          <w:lang w:val="en-US"/>
        </w:rPr>
        <w:t>establishes</w:t>
      </w:r>
      <w:r w:rsidRPr="43A80BFA" w:rsidR="1616BF36">
        <w:rPr>
          <w:rFonts w:ascii="Times New Roman" w:hAnsi="Times New Roman" w:eastAsia="Times New Roman" w:cs="Times New Roman"/>
          <w:b w:val="0"/>
          <w:bCs w:val="0"/>
          <w:i w:val="0"/>
          <w:iCs w:val="0"/>
          <w:noProof w:val="0"/>
          <w:color w:val="auto"/>
          <w:sz w:val="26"/>
          <w:szCs w:val="26"/>
          <w:lang w:val="en-US"/>
        </w:rPr>
        <w:t xml:space="preserve"> comprehensive frameworks for digital rights and market regulation, setting standards that influence global practice. The African Union's Digital Transformation Strategy presents a continental approach to digital development, focusing on infrastructure, skills, and innovation. The ASEAN Digital Masterplan 2025 </w:t>
      </w:r>
      <w:r w:rsidRPr="43A80BFA" w:rsidR="1616BF36">
        <w:rPr>
          <w:rFonts w:ascii="Times New Roman" w:hAnsi="Times New Roman" w:eastAsia="Times New Roman" w:cs="Times New Roman"/>
          <w:b w:val="0"/>
          <w:bCs w:val="0"/>
          <w:i w:val="0"/>
          <w:iCs w:val="0"/>
          <w:noProof w:val="0"/>
          <w:color w:val="auto"/>
          <w:sz w:val="26"/>
          <w:szCs w:val="26"/>
          <w:lang w:val="en-US"/>
        </w:rPr>
        <w:t>showcases</w:t>
      </w:r>
      <w:r w:rsidRPr="43A80BFA" w:rsidR="1616BF36">
        <w:rPr>
          <w:rFonts w:ascii="Times New Roman" w:hAnsi="Times New Roman" w:eastAsia="Times New Roman" w:cs="Times New Roman"/>
          <w:b w:val="0"/>
          <w:bCs w:val="0"/>
          <w:i w:val="0"/>
          <w:iCs w:val="0"/>
          <w:noProof w:val="0"/>
          <w:color w:val="auto"/>
          <w:sz w:val="26"/>
          <w:szCs w:val="26"/>
          <w:lang w:val="en-US"/>
        </w:rPr>
        <w:t xml:space="preserve"> how regional cooperation can accelerate digital transformation while ensuring </w:t>
      </w:r>
      <w:r w:rsidRPr="43A80BFA" w:rsidR="1616BF36">
        <w:rPr>
          <w:rFonts w:ascii="Times New Roman" w:hAnsi="Times New Roman" w:eastAsia="Times New Roman" w:cs="Times New Roman"/>
          <w:b w:val="0"/>
          <w:bCs w:val="0"/>
          <w:i w:val="0"/>
          <w:iCs w:val="0"/>
          <w:noProof w:val="0"/>
          <w:color w:val="auto"/>
          <w:sz w:val="26"/>
          <w:szCs w:val="26"/>
          <w:lang w:val="en-US"/>
        </w:rPr>
        <w:t>equitable</w:t>
      </w:r>
      <w:r w:rsidRPr="43A80BFA" w:rsidR="1616BF36">
        <w:rPr>
          <w:rFonts w:ascii="Times New Roman" w:hAnsi="Times New Roman" w:eastAsia="Times New Roman" w:cs="Times New Roman"/>
          <w:b w:val="0"/>
          <w:bCs w:val="0"/>
          <w:i w:val="0"/>
          <w:iCs w:val="0"/>
          <w:noProof w:val="0"/>
          <w:color w:val="auto"/>
          <w:sz w:val="26"/>
          <w:szCs w:val="26"/>
          <w:lang w:val="en-US"/>
        </w:rPr>
        <w:t xml:space="preserve"> access.</w:t>
      </w:r>
    </w:p>
    <w:p w:rsidR="1616BF36" w:rsidP="43A80BFA" w:rsidRDefault="1616BF36" w14:paraId="6BEE2006" w14:textId="40690204">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International organizations continue to drive progress through targeted initiatives. The ITU's universal service programs provide essential technical </w:t>
      </w:r>
      <w:r w:rsidRPr="43A80BFA" w:rsidR="1616BF36">
        <w:rPr>
          <w:rFonts w:ascii="Times New Roman" w:hAnsi="Times New Roman" w:eastAsia="Times New Roman" w:cs="Times New Roman"/>
          <w:b w:val="0"/>
          <w:bCs w:val="0"/>
          <w:i w:val="0"/>
          <w:iCs w:val="0"/>
          <w:noProof w:val="0"/>
          <w:color w:val="auto"/>
          <w:sz w:val="26"/>
          <w:szCs w:val="26"/>
          <w:lang w:val="en-US"/>
        </w:rPr>
        <w:t>expertise</w:t>
      </w:r>
      <w:r w:rsidRPr="43A80BFA" w:rsidR="1616BF36">
        <w:rPr>
          <w:rFonts w:ascii="Times New Roman" w:hAnsi="Times New Roman" w:eastAsia="Times New Roman" w:cs="Times New Roman"/>
          <w:b w:val="0"/>
          <w:bCs w:val="0"/>
          <w:i w:val="0"/>
          <w:iCs w:val="0"/>
          <w:noProof w:val="0"/>
          <w:color w:val="auto"/>
          <w:sz w:val="26"/>
          <w:szCs w:val="26"/>
          <w:lang w:val="en-US"/>
        </w:rPr>
        <w:t xml:space="preserve"> and policy guidance for expanding connectivity in challenging environments. UNESCO's digital literacy initiatives address the crucial skills </w:t>
      </w:r>
      <w:r w:rsidRPr="43A80BFA" w:rsidR="1616BF36">
        <w:rPr>
          <w:rFonts w:ascii="Times New Roman" w:hAnsi="Times New Roman" w:eastAsia="Times New Roman" w:cs="Times New Roman"/>
          <w:b w:val="0"/>
          <w:bCs w:val="0"/>
          <w:i w:val="0"/>
          <w:iCs w:val="0"/>
          <w:noProof w:val="0"/>
          <w:color w:val="auto"/>
          <w:sz w:val="26"/>
          <w:szCs w:val="26"/>
          <w:lang w:val="en-US"/>
        </w:rPr>
        <w:t>component</w:t>
      </w:r>
      <w:r w:rsidRPr="43A80BFA" w:rsidR="1616BF36">
        <w:rPr>
          <w:rFonts w:ascii="Times New Roman" w:hAnsi="Times New Roman" w:eastAsia="Times New Roman" w:cs="Times New Roman"/>
          <w:b w:val="0"/>
          <w:bCs w:val="0"/>
          <w:i w:val="0"/>
          <w:iCs w:val="0"/>
          <w:noProof w:val="0"/>
          <w:color w:val="auto"/>
          <w:sz w:val="26"/>
          <w:szCs w:val="26"/>
          <w:lang w:val="en-US"/>
        </w:rPr>
        <w:t xml:space="preserve"> of meaningful access, while UN Women's gender-focused digital access projects specifically target the persistent gender gap in digital access.</w:t>
      </w:r>
    </w:p>
    <w:p w:rsidR="1616BF36" w:rsidP="43A80BFA" w:rsidRDefault="1616BF36" w14:paraId="58F9E3E6" w14:textId="1C0FACCE">
      <w:pPr>
        <w:pStyle w:val="Heading3"/>
        <w:spacing w:before="281" w:beforeAutospacing="off" w:after="281" w:afterAutospacing="off"/>
        <w:rPr>
          <w:rFonts w:ascii="Times New Roman" w:hAnsi="Times New Roman" w:eastAsia="Times New Roman" w:cs="Times New Roman"/>
          <w:b w:val="1"/>
          <w:bCs w:val="1"/>
          <w:i w:val="0"/>
          <w:iCs w:val="0"/>
          <w:noProof w:val="0"/>
          <w:color w:val="auto"/>
          <w:sz w:val="28"/>
          <w:szCs w:val="28"/>
          <w:lang w:val="en-US"/>
        </w:rPr>
      </w:pPr>
      <w:r w:rsidRPr="43A80BFA" w:rsidR="1616BF36">
        <w:rPr>
          <w:rFonts w:ascii="Times New Roman" w:hAnsi="Times New Roman" w:eastAsia="Times New Roman" w:cs="Times New Roman"/>
          <w:b w:val="1"/>
          <w:bCs w:val="1"/>
          <w:i w:val="0"/>
          <w:iCs w:val="0"/>
          <w:noProof w:val="0"/>
          <w:color w:val="auto"/>
          <w:sz w:val="28"/>
          <w:szCs w:val="28"/>
          <w:lang w:val="en-US"/>
        </w:rPr>
        <w:t>Recommended Solutions</w:t>
      </w:r>
      <w:r w:rsidRPr="43A80BFA" w:rsidR="1FFB0539">
        <w:rPr>
          <w:rFonts w:ascii="Times New Roman" w:hAnsi="Times New Roman" w:eastAsia="Times New Roman" w:cs="Times New Roman"/>
          <w:b w:val="1"/>
          <w:bCs w:val="1"/>
          <w:i w:val="0"/>
          <w:iCs w:val="0"/>
          <w:noProof w:val="0"/>
          <w:color w:val="auto"/>
          <w:sz w:val="28"/>
          <w:szCs w:val="28"/>
          <w:lang w:val="en-US"/>
        </w:rPr>
        <w:t>:</w:t>
      </w:r>
    </w:p>
    <w:p w:rsidR="1616BF36" w:rsidP="43A80BFA" w:rsidRDefault="1616BF36" w14:paraId="78E7B228" w14:textId="24874976">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A comprehensive policy framework must underpin efforts to </w:t>
      </w:r>
      <w:r w:rsidRPr="43A80BFA" w:rsidR="1616BF36">
        <w:rPr>
          <w:rFonts w:ascii="Times New Roman" w:hAnsi="Times New Roman" w:eastAsia="Times New Roman" w:cs="Times New Roman"/>
          <w:b w:val="0"/>
          <w:bCs w:val="0"/>
          <w:i w:val="0"/>
          <w:iCs w:val="0"/>
          <w:noProof w:val="0"/>
          <w:color w:val="auto"/>
          <w:sz w:val="26"/>
          <w:szCs w:val="26"/>
          <w:lang w:val="en-US"/>
        </w:rPr>
        <w:t>establish</w:t>
      </w:r>
      <w:r w:rsidRPr="43A80BFA" w:rsidR="1616BF36">
        <w:rPr>
          <w:rFonts w:ascii="Times New Roman" w:hAnsi="Times New Roman" w:eastAsia="Times New Roman" w:cs="Times New Roman"/>
          <w:b w:val="0"/>
          <w:bCs w:val="0"/>
          <w:i w:val="0"/>
          <w:iCs w:val="0"/>
          <w:noProof w:val="0"/>
          <w:color w:val="auto"/>
          <w:sz w:val="26"/>
          <w:szCs w:val="26"/>
          <w:lang w:val="en-US"/>
        </w:rPr>
        <w:t xml:space="preserve"> digital access as a fundamental right. This begins with explicit legal recognition of digital access as a fundamental right within national constitutions and international law. Universal service obligations for telecommunications providers should be </w:t>
      </w:r>
      <w:r w:rsidRPr="43A80BFA" w:rsidR="1616BF36">
        <w:rPr>
          <w:rFonts w:ascii="Times New Roman" w:hAnsi="Times New Roman" w:eastAsia="Times New Roman" w:cs="Times New Roman"/>
          <w:b w:val="0"/>
          <w:bCs w:val="0"/>
          <w:i w:val="0"/>
          <w:iCs w:val="0"/>
          <w:noProof w:val="0"/>
          <w:color w:val="auto"/>
          <w:sz w:val="26"/>
          <w:szCs w:val="26"/>
          <w:lang w:val="en-US"/>
        </w:rPr>
        <w:t>established</w:t>
      </w:r>
      <w:r w:rsidRPr="43A80BFA" w:rsidR="1616BF36">
        <w:rPr>
          <w:rFonts w:ascii="Times New Roman" w:hAnsi="Times New Roman" w:eastAsia="Times New Roman" w:cs="Times New Roman"/>
          <w:b w:val="0"/>
          <w:bCs w:val="0"/>
          <w:i w:val="0"/>
          <w:iCs w:val="0"/>
          <w:noProof w:val="0"/>
          <w:color w:val="auto"/>
          <w:sz w:val="26"/>
          <w:szCs w:val="26"/>
          <w:lang w:val="en-US"/>
        </w:rPr>
        <w:t xml:space="preserve"> and enforced, with clear metrics for coverage and service quality in underserved areas. Price control mechanisms must balance affordability with market sustainability, potentially through targeted subsidies and competition policy.</w:t>
      </w:r>
    </w:p>
    <w:p w:rsidR="1616BF36" w:rsidP="43A80BFA" w:rsidRDefault="1616BF36" w14:paraId="144B5279" w14:textId="39496987">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Infrastructure development requires sustained, coordinated effort across stakeholders. International infrastructure funding mechanisms should prioritize regions where market forces alone prove insufficient. Innovative connectivity solutions, including satellite technology and community networks, deserve support through policy and funding initiatives. </w:t>
      </w:r>
      <w:r w:rsidRPr="43A80BFA" w:rsidR="1616BF36">
        <w:rPr>
          <w:rFonts w:ascii="Times New Roman" w:hAnsi="Times New Roman" w:eastAsia="Times New Roman" w:cs="Times New Roman"/>
          <w:b w:val="0"/>
          <w:bCs w:val="0"/>
          <w:i w:val="0"/>
          <w:iCs w:val="0"/>
          <w:noProof w:val="0"/>
          <w:color w:val="auto"/>
          <w:sz w:val="26"/>
          <w:szCs w:val="26"/>
          <w:lang w:val="en-US"/>
        </w:rPr>
        <w:t>The integration of sustainable energy solutions with digital infrastructure requires particular attention, especially in regions with limited power grid access.</w:t>
      </w:r>
    </w:p>
    <w:p w:rsidR="1616BF36" w:rsidP="43A80BFA" w:rsidRDefault="1616BF36" w14:paraId="057BF1D3" w14:textId="49C9FB51">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Digital inclusion demands a nuanced approach to social and cultural dimensions of access. Comprehensive digital literacy programs must be developed with attention to local context and needs. Gender-specific barriers require targeted interventions, including women-only training programs and community engagement initiatives. The development of multilingual content and accessibility features must be prioritized from the outset of digital initiatives.</w:t>
      </w:r>
    </w:p>
    <w:p w:rsidR="1616BF36" w:rsidP="43A80BFA" w:rsidRDefault="1616BF36" w14:paraId="36D8A1DB" w14:textId="1395400B">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Financial mechanisms play an essential role in achieving universal digital access. Dedicated international digital access funds should </w:t>
      </w:r>
      <w:r w:rsidRPr="43A80BFA" w:rsidR="1616BF36">
        <w:rPr>
          <w:rFonts w:ascii="Times New Roman" w:hAnsi="Times New Roman" w:eastAsia="Times New Roman" w:cs="Times New Roman"/>
          <w:b w:val="0"/>
          <w:bCs w:val="0"/>
          <w:i w:val="0"/>
          <w:iCs w:val="0"/>
          <w:noProof w:val="0"/>
          <w:color w:val="auto"/>
          <w:sz w:val="26"/>
          <w:szCs w:val="26"/>
          <w:lang w:val="en-US"/>
        </w:rPr>
        <w:t>operate</w:t>
      </w:r>
      <w:r w:rsidRPr="43A80BFA" w:rsidR="1616BF36">
        <w:rPr>
          <w:rFonts w:ascii="Times New Roman" w:hAnsi="Times New Roman" w:eastAsia="Times New Roman" w:cs="Times New Roman"/>
          <w:b w:val="0"/>
          <w:bCs w:val="0"/>
          <w:i w:val="0"/>
          <w:iCs w:val="0"/>
          <w:noProof w:val="0"/>
          <w:color w:val="auto"/>
          <w:sz w:val="26"/>
          <w:szCs w:val="26"/>
          <w:lang w:val="en-US"/>
        </w:rPr>
        <w:t xml:space="preserve"> with clear governance structures and accountability mechanisms. Sustainable funding models must support both initial infrastructure deployment and ongoing maintenance. Private sector investment should be encouraged through carefully designed incentive structures, while microfinance initiatives can help bridge individual affordability gaps.</w:t>
      </w:r>
    </w:p>
    <w:p w:rsidR="43A80BFA" w:rsidP="43A80BFA" w:rsidRDefault="43A80BFA" w14:paraId="729C2B1D" w14:textId="49D9BD66">
      <w:pPr>
        <w:pStyle w:val="Heading3"/>
        <w:spacing w:before="281" w:beforeAutospacing="off" w:after="281" w:afterAutospacing="off"/>
        <w:rPr>
          <w:rFonts w:ascii="Times New Roman" w:hAnsi="Times New Roman" w:eastAsia="Times New Roman" w:cs="Times New Roman"/>
          <w:b w:val="0"/>
          <w:bCs w:val="0"/>
          <w:i w:val="0"/>
          <w:iCs w:val="0"/>
          <w:noProof w:val="0"/>
          <w:color w:val="auto"/>
          <w:sz w:val="28"/>
          <w:szCs w:val="28"/>
          <w:lang w:val="en-US"/>
        </w:rPr>
      </w:pPr>
    </w:p>
    <w:p w:rsidR="1616BF36" w:rsidP="43A80BFA" w:rsidRDefault="1616BF36" w14:paraId="0039B77F" w14:textId="5DDBB775">
      <w:pPr>
        <w:pStyle w:val="Heading3"/>
        <w:spacing w:before="281" w:beforeAutospacing="off" w:after="281" w:afterAutospacing="off"/>
        <w:rPr>
          <w:rFonts w:ascii="Times New Roman" w:hAnsi="Times New Roman" w:eastAsia="Times New Roman" w:cs="Times New Roman"/>
          <w:b w:val="1"/>
          <w:bCs w:val="1"/>
          <w:i w:val="0"/>
          <w:iCs w:val="0"/>
          <w:noProof w:val="0"/>
          <w:color w:val="auto"/>
          <w:sz w:val="28"/>
          <w:szCs w:val="28"/>
          <w:lang w:val="en-US"/>
        </w:rPr>
      </w:pPr>
      <w:r w:rsidRPr="43A80BFA" w:rsidR="1616BF36">
        <w:rPr>
          <w:rFonts w:ascii="Times New Roman" w:hAnsi="Times New Roman" w:eastAsia="Times New Roman" w:cs="Times New Roman"/>
          <w:b w:val="1"/>
          <w:bCs w:val="1"/>
          <w:i w:val="0"/>
          <w:iCs w:val="0"/>
          <w:noProof w:val="0"/>
          <w:color w:val="auto"/>
          <w:sz w:val="28"/>
          <w:szCs w:val="28"/>
          <w:lang w:val="en-US"/>
        </w:rPr>
        <w:t>Useful Resources</w:t>
      </w:r>
      <w:r w:rsidRPr="43A80BFA" w:rsidR="63841E52">
        <w:rPr>
          <w:rFonts w:ascii="Times New Roman" w:hAnsi="Times New Roman" w:eastAsia="Times New Roman" w:cs="Times New Roman"/>
          <w:b w:val="1"/>
          <w:bCs w:val="1"/>
          <w:i w:val="0"/>
          <w:iCs w:val="0"/>
          <w:noProof w:val="0"/>
          <w:color w:val="auto"/>
          <w:sz w:val="28"/>
          <w:szCs w:val="28"/>
          <w:lang w:val="en-US"/>
        </w:rPr>
        <w:t>:</w:t>
      </w:r>
    </w:p>
    <w:p w:rsidR="1616BF36" w:rsidP="43A80BFA" w:rsidRDefault="1616BF36" w14:paraId="6E7DE4DA" w14:textId="59456488">
      <w:pPr>
        <w:pStyle w:val="ListParagraph"/>
        <w:numPr>
          <w:ilvl w:val="0"/>
          <w:numId w:val="37"/>
        </w:numPr>
        <w:spacing w:before="0" w:beforeAutospacing="off" w:after="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International Telecommunication Union (ITU):</w:t>
      </w:r>
      <w:r w:rsidRPr="43A80BFA" w:rsidR="1616BF36">
        <w:rPr>
          <w:rFonts w:ascii="Times New Roman" w:hAnsi="Times New Roman" w:eastAsia="Times New Roman" w:cs="Times New Roman"/>
          <w:b w:val="0"/>
          <w:bCs w:val="0"/>
          <w:i w:val="0"/>
          <w:iCs w:val="0"/>
          <w:noProof w:val="0"/>
          <w:color w:val="auto"/>
          <w:sz w:val="26"/>
          <w:szCs w:val="26"/>
          <w:lang w:val="en-US"/>
        </w:rPr>
        <w:t xml:space="preserve"> </w:t>
      </w:r>
      <w:hyperlink r:id="Rbea71ab404944579">
        <w:r w:rsidRPr="43A80BFA" w:rsidR="1616BF36">
          <w:rPr>
            <w:rStyle w:val="Hyperlink"/>
            <w:rFonts w:ascii="Times New Roman" w:hAnsi="Times New Roman" w:eastAsia="Times New Roman" w:cs="Times New Roman"/>
            <w:b w:val="0"/>
            <w:bCs w:val="0"/>
            <w:i w:val="0"/>
            <w:iCs w:val="0"/>
            <w:noProof w:val="0"/>
            <w:color w:val="auto"/>
            <w:sz w:val="26"/>
            <w:szCs w:val="26"/>
            <w:lang w:val="en-US"/>
          </w:rPr>
          <w:t>https://www.itu.int</w:t>
        </w:r>
      </w:hyperlink>
    </w:p>
    <w:p w:rsidR="1616BF36" w:rsidP="43A80BFA" w:rsidRDefault="1616BF36" w14:paraId="2B6CD540" w14:textId="023EE4F7">
      <w:pPr>
        <w:pStyle w:val="ListParagraph"/>
        <w:numPr>
          <w:ilvl w:val="0"/>
          <w:numId w:val="37"/>
        </w:numPr>
        <w:spacing w:before="0" w:beforeAutospacing="off" w:after="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UNESCO Digital Transformation Resources:</w:t>
      </w:r>
      <w:r w:rsidRPr="43A80BFA" w:rsidR="1616BF36">
        <w:rPr>
          <w:rFonts w:ascii="Times New Roman" w:hAnsi="Times New Roman" w:eastAsia="Times New Roman" w:cs="Times New Roman"/>
          <w:b w:val="0"/>
          <w:bCs w:val="0"/>
          <w:i w:val="0"/>
          <w:iCs w:val="0"/>
          <w:noProof w:val="0"/>
          <w:color w:val="auto"/>
          <w:sz w:val="26"/>
          <w:szCs w:val="26"/>
          <w:lang w:val="en-US"/>
        </w:rPr>
        <w:t xml:space="preserve"> </w:t>
      </w:r>
      <w:hyperlink r:id="R648c6f9deb5e4978">
        <w:r w:rsidRPr="43A80BFA" w:rsidR="1616BF36">
          <w:rPr>
            <w:rStyle w:val="Hyperlink"/>
            <w:rFonts w:ascii="Times New Roman" w:hAnsi="Times New Roman" w:eastAsia="Times New Roman" w:cs="Times New Roman"/>
            <w:b w:val="0"/>
            <w:bCs w:val="0"/>
            <w:i w:val="0"/>
            <w:iCs w:val="0"/>
            <w:noProof w:val="0"/>
            <w:color w:val="auto"/>
            <w:sz w:val="26"/>
            <w:szCs w:val="26"/>
            <w:lang w:val="en-US"/>
          </w:rPr>
          <w:t>https://www.unesco.org</w:t>
        </w:r>
      </w:hyperlink>
    </w:p>
    <w:p w:rsidR="1616BF36" w:rsidP="43A80BFA" w:rsidRDefault="1616BF36" w14:paraId="6EA11284" w14:textId="7FE49171">
      <w:pPr>
        <w:pStyle w:val="ListParagraph"/>
        <w:numPr>
          <w:ilvl w:val="0"/>
          <w:numId w:val="37"/>
        </w:numPr>
        <w:spacing w:before="0" w:beforeAutospacing="off" w:after="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World Bank Digital Development Partnership:</w:t>
      </w:r>
      <w:r w:rsidRPr="43A80BFA" w:rsidR="1616BF36">
        <w:rPr>
          <w:rFonts w:ascii="Times New Roman" w:hAnsi="Times New Roman" w:eastAsia="Times New Roman" w:cs="Times New Roman"/>
          <w:b w:val="0"/>
          <w:bCs w:val="0"/>
          <w:i w:val="0"/>
          <w:iCs w:val="0"/>
          <w:noProof w:val="0"/>
          <w:color w:val="auto"/>
          <w:sz w:val="26"/>
          <w:szCs w:val="26"/>
          <w:lang w:val="en-US"/>
        </w:rPr>
        <w:t xml:space="preserve"> </w:t>
      </w:r>
      <w:hyperlink r:id="Rf22890f620e44334">
        <w:r w:rsidRPr="43A80BFA" w:rsidR="1616BF36">
          <w:rPr>
            <w:rStyle w:val="Hyperlink"/>
            <w:rFonts w:ascii="Times New Roman" w:hAnsi="Times New Roman" w:eastAsia="Times New Roman" w:cs="Times New Roman"/>
            <w:b w:val="0"/>
            <w:bCs w:val="0"/>
            <w:i w:val="0"/>
            <w:iCs w:val="0"/>
            <w:noProof w:val="0"/>
            <w:color w:val="auto"/>
            <w:sz w:val="26"/>
            <w:szCs w:val="26"/>
            <w:lang w:val="en-US"/>
          </w:rPr>
          <w:t>https://www.worldbank.org/digitaldevelopment</w:t>
        </w:r>
      </w:hyperlink>
    </w:p>
    <w:p w:rsidR="1616BF36" w:rsidP="43A80BFA" w:rsidRDefault="1616BF36" w14:paraId="0B33244F" w14:textId="1DDA4C83">
      <w:pPr>
        <w:pStyle w:val="ListParagraph"/>
        <w:numPr>
          <w:ilvl w:val="0"/>
          <w:numId w:val="37"/>
        </w:numPr>
        <w:spacing w:before="0" w:beforeAutospacing="off" w:after="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Alliance for Affordable Internet (A4AI):</w:t>
      </w:r>
      <w:r w:rsidRPr="43A80BFA" w:rsidR="1616BF36">
        <w:rPr>
          <w:rFonts w:ascii="Times New Roman" w:hAnsi="Times New Roman" w:eastAsia="Times New Roman" w:cs="Times New Roman"/>
          <w:b w:val="0"/>
          <w:bCs w:val="0"/>
          <w:i w:val="0"/>
          <w:iCs w:val="0"/>
          <w:noProof w:val="0"/>
          <w:color w:val="auto"/>
          <w:sz w:val="26"/>
          <w:szCs w:val="26"/>
          <w:lang w:val="en-US"/>
        </w:rPr>
        <w:t xml:space="preserve"> </w:t>
      </w:r>
      <w:hyperlink r:id="R2789d7d941af4c3f">
        <w:r w:rsidRPr="43A80BFA" w:rsidR="1616BF36">
          <w:rPr>
            <w:rStyle w:val="Hyperlink"/>
            <w:rFonts w:ascii="Times New Roman" w:hAnsi="Times New Roman" w:eastAsia="Times New Roman" w:cs="Times New Roman"/>
            <w:b w:val="0"/>
            <w:bCs w:val="0"/>
            <w:i w:val="0"/>
            <w:iCs w:val="0"/>
            <w:noProof w:val="0"/>
            <w:color w:val="auto"/>
            <w:sz w:val="26"/>
            <w:szCs w:val="26"/>
            <w:lang w:val="en-US"/>
          </w:rPr>
          <w:t>https://a4ai.org</w:t>
        </w:r>
      </w:hyperlink>
    </w:p>
    <w:p w:rsidR="1616BF36" w:rsidP="43A80BFA" w:rsidRDefault="1616BF36" w14:paraId="32F4CFEA" w14:textId="073888CA">
      <w:pPr>
        <w:pStyle w:val="ListParagraph"/>
        <w:numPr>
          <w:ilvl w:val="0"/>
          <w:numId w:val="37"/>
        </w:numPr>
        <w:spacing w:before="0" w:beforeAutospacing="off" w:after="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Internet Society (ISOC):</w:t>
      </w:r>
      <w:r w:rsidRPr="43A80BFA" w:rsidR="1616BF36">
        <w:rPr>
          <w:rFonts w:ascii="Times New Roman" w:hAnsi="Times New Roman" w:eastAsia="Times New Roman" w:cs="Times New Roman"/>
          <w:b w:val="0"/>
          <w:bCs w:val="0"/>
          <w:i w:val="0"/>
          <w:iCs w:val="0"/>
          <w:noProof w:val="0"/>
          <w:color w:val="auto"/>
          <w:sz w:val="26"/>
          <w:szCs w:val="26"/>
          <w:lang w:val="en-US"/>
        </w:rPr>
        <w:t xml:space="preserve"> </w:t>
      </w:r>
      <w:hyperlink r:id="R2eb2c143098f4f05">
        <w:r w:rsidRPr="43A80BFA" w:rsidR="1616BF36">
          <w:rPr>
            <w:rStyle w:val="Hyperlink"/>
            <w:rFonts w:ascii="Times New Roman" w:hAnsi="Times New Roman" w:eastAsia="Times New Roman" w:cs="Times New Roman"/>
            <w:b w:val="0"/>
            <w:bCs w:val="0"/>
            <w:i w:val="0"/>
            <w:iCs w:val="0"/>
            <w:noProof w:val="0"/>
            <w:color w:val="auto"/>
            <w:sz w:val="26"/>
            <w:szCs w:val="26"/>
            <w:lang w:val="en-US"/>
          </w:rPr>
          <w:t>https://www.internetsociety.org</w:t>
        </w:r>
      </w:hyperlink>
    </w:p>
    <w:p w:rsidR="43A80BFA" w:rsidP="43A80BFA" w:rsidRDefault="43A80BFA" w14:paraId="0D0C62DB" w14:textId="627DBD49">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p>
    <w:p w:rsidR="1616BF36" w:rsidP="43A80BFA" w:rsidRDefault="1616BF36" w14:paraId="23D1D794" w14:textId="27B08ED5">
      <w:pPr>
        <w:pStyle w:val="Heading3"/>
        <w:spacing w:before="281" w:beforeAutospacing="off" w:after="281" w:afterAutospacing="off"/>
        <w:rPr>
          <w:rFonts w:ascii="Times New Roman" w:hAnsi="Times New Roman" w:eastAsia="Times New Roman" w:cs="Times New Roman"/>
          <w:b w:val="1"/>
          <w:bCs w:val="1"/>
          <w:i w:val="0"/>
          <w:iCs w:val="0"/>
          <w:noProof w:val="0"/>
          <w:color w:val="auto"/>
          <w:sz w:val="28"/>
          <w:szCs w:val="28"/>
          <w:lang w:val="en-US"/>
        </w:rPr>
      </w:pPr>
      <w:r w:rsidRPr="43A80BFA" w:rsidR="1616BF36">
        <w:rPr>
          <w:rFonts w:ascii="Times New Roman" w:hAnsi="Times New Roman" w:eastAsia="Times New Roman" w:cs="Times New Roman"/>
          <w:b w:val="1"/>
          <w:bCs w:val="1"/>
          <w:i w:val="0"/>
          <w:iCs w:val="0"/>
          <w:noProof w:val="0"/>
          <w:color w:val="auto"/>
          <w:sz w:val="28"/>
          <w:szCs w:val="28"/>
          <w:lang w:val="en-US"/>
        </w:rPr>
        <w:t>Conclusion</w:t>
      </w:r>
      <w:r w:rsidRPr="43A80BFA" w:rsidR="60A8A2B7">
        <w:rPr>
          <w:rFonts w:ascii="Times New Roman" w:hAnsi="Times New Roman" w:eastAsia="Times New Roman" w:cs="Times New Roman"/>
          <w:b w:val="1"/>
          <w:bCs w:val="1"/>
          <w:i w:val="0"/>
          <w:iCs w:val="0"/>
          <w:noProof w:val="0"/>
          <w:color w:val="auto"/>
          <w:sz w:val="28"/>
          <w:szCs w:val="28"/>
          <w:lang w:val="en-US"/>
        </w:rPr>
        <w:t>:</w:t>
      </w:r>
    </w:p>
    <w:p w:rsidR="1616BF36" w:rsidP="43A80BFA" w:rsidRDefault="1616BF36" w14:paraId="5A331168" w14:textId="20D1BAA1">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Ensuring digital access as a fundamental human right requires sustained, coordinated action across multiple stakeholders and sectors. While the challenge is substantial, the cost of inaction – in terms of human development, economic opportunity, and social equity – far outweighs the investment </w:t>
      </w:r>
      <w:r w:rsidRPr="43A80BFA" w:rsidR="1616BF36">
        <w:rPr>
          <w:rFonts w:ascii="Times New Roman" w:hAnsi="Times New Roman" w:eastAsia="Times New Roman" w:cs="Times New Roman"/>
          <w:b w:val="0"/>
          <w:bCs w:val="0"/>
          <w:i w:val="0"/>
          <w:iCs w:val="0"/>
          <w:noProof w:val="0"/>
          <w:color w:val="auto"/>
          <w:sz w:val="26"/>
          <w:szCs w:val="26"/>
          <w:lang w:val="en-US"/>
        </w:rPr>
        <w:t>required</w:t>
      </w:r>
      <w:r w:rsidRPr="43A80BFA" w:rsidR="1616BF36">
        <w:rPr>
          <w:rFonts w:ascii="Times New Roman" w:hAnsi="Times New Roman" w:eastAsia="Times New Roman" w:cs="Times New Roman"/>
          <w:b w:val="0"/>
          <w:bCs w:val="0"/>
          <w:i w:val="0"/>
          <w:iCs w:val="0"/>
          <w:noProof w:val="0"/>
          <w:color w:val="auto"/>
          <w:sz w:val="26"/>
          <w:szCs w:val="26"/>
          <w:lang w:val="en-US"/>
        </w:rPr>
        <w:t xml:space="preserve">. Success demands </w:t>
      </w:r>
      <w:r w:rsidRPr="43A80BFA" w:rsidR="1616BF36">
        <w:rPr>
          <w:rFonts w:ascii="Times New Roman" w:hAnsi="Times New Roman" w:eastAsia="Times New Roman" w:cs="Times New Roman"/>
          <w:b w:val="0"/>
          <w:bCs w:val="0"/>
          <w:i w:val="0"/>
          <w:iCs w:val="0"/>
          <w:noProof w:val="0"/>
          <w:color w:val="auto"/>
          <w:sz w:val="26"/>
          <w:szCs w:val="26"/>
          <w:lang w:val="en-US"/>
        </w:rPr>
        <w:t>a holistic approach</w:t>
      </w:r>
      <w:r w:rsidRPr="43A80BFA" w:rsidR="1616BF36">
        <w:rPr>
          <w:rFonts w:ascii="Times New Roman" w:hAnsi="Times New Roman" w:eastAsia="Times New Roman" w:cs="Times New Roman"/>
          <w:b w:val="0"/>
          <w:bCs w:val="0"/>
          <w:i w:val="0"/>
          <w:iCs w:val="0"/>
          <w:noProof w:val="0"/>
          <w:color w:val="auto"/>
          <w:sz w:val="26"/>
          <w:szCs w:val="26"/>
          <w:lang w:val="en-US"/>
        </w:rPr>
        <w:t xml:space="preserve"> that simultaneously addresses infrastructure, affordability, digital literacy, and regulatory frameworks.</w:t>
      </w:r>
    </w:p>
    <w:p w:rsidR="1616BF36" w:rsidP="43A80BFA" w:rsidRDefault="1616BF36" w14:paraId="613E7DC1" w14:textId="02197392">
      <w:pPr>
        <w:spacing w:before="240" w:beforeAutospacing="off" w:after="240" w:afterAutospacing="off"/>
        <w:rPr>
          <w:rFonts w:ascii="Times New Roman" w:hAnsi="Times New Roman" w:eastAsia="Times New Roman" w:cs="Times New Roman"/>
          <w:b w:val="0"/>
          <w:bCs w:val="0"/>
          <w:i w:val="0"/>
          <w:iCs w:val="0"/>
          <w:noProof w:val="0"/>
          <w:color w:val="auto"/>
          <w:sz w:val="26"/>
          <w:szCs w:val="26"/>
          <w:lang w:val="en-US"/>
        </w:rPr>
      </w:pPr>
      <w:r w:rsidRPr="43A80BFA" w:rsidR="1616BF36">
        <w:rPr>
          <w:rFonts w:ascii="Times New Roman" w:hAnsi="Times New Roman" w:eastAsia="Times New Roman" w:cs="Times New Roman"/>
          <w:b w:val="0"/>
          <w:bCs w:val="0"/>
          <w:i w:val="0"/>
          <w:iCs w:val="0"/>
          <w:noProof w:val="0"/>
          <w:color w:val="auto"/>
          <w:sz w:val="26"/>
          <w:szCs w:val="26"/>
          <w:lang w:val="en-US"/>
        </w:rPr>
        <w:t xml:space="preserve">As technology continues to evolve and become more integral to daily life, the imperative to ensure universal digital access grows stronger. The international community must work together to develop innovative solutions, share resources and </w:t>
      </w:r>
      <w:r w:rsidRPr="43A80BFA" w:rsidR="1616BF36">
        <w:rPr>
          <w:rFonts w:ascii="Times New Roman" w:hAnsi="Times New Roman" w:eastAsia="Times New Roman" w:cs="Times New Roman"/>
          <w:b w:val="0"/>
          <w:bCs w:val="0"/>
          <w:i w:val="0"/>
          <w:iCs w:val="0"/>
          <w:noProof w:val="0"/>
          <w:color w:val="auto"/>
          <w:sz w:val="26"/>
          <w:szCs w:val="26"/>
          <w:lang w:val="en-US"/>
        </w:rPr>
        <w:t>expertise</w:t>
      </w:r>
      <w:r w:rsidRPr="43A80BFA" w:rsidR="1616BF36">
        <w:rPr>
          <w:rFonts w:ascii="Times New Roman" w:hAnsi="Times New Roman" w:eastAsia="Times New Roman" w:cs="Times New Roman"/>
          <w:b w:val="0"/>
          <w:bCs w:val="0"/>
          <w:i w:val="0"/>
          <w:iCs w:val="0"/>
          <w:noProof w:val="0"/>
          <w:color w:val="auto"/>
          <w:sz w:val="26"/>
          <w:szCs w:val="26"/>
          <w:lang w:val="en-US"/>
        </w:rPr>
        <w:t xml:space="preserve">, and </w:t>
      </w:r>
      <w:r w:rsidRPr="43A80BFA" w:rsidR="1616BF36">
        <w:rPr>
          <w:rFonts w:ascii="Times New Roman" w:hAnsi="Times New Roman" w:eastAsia="Times New Roman" w:cs="Times New Roman"/>
          <w:b w:val="0"/>
          <w:bCs w:val="0"/>
          <w:i w:val="0"/>
          <w:iCs w:val="0"/>
          <w:noProof w:val="0"/>
          <w:color w:val="auto"/>
          <w:sz w:val="26"/>
          <w:szCs w:val="26"/>
          <w:lang w:val="en-US"/>
        </w:rPr>
        <w:t>maintain</w:t>
      </w:r>
      <w:r w:rsidRPr="43A80BFA" w:rsidR="1616BF36">
        <w:rPr>
          <w:rFonts w:ascii="Times New Roman" w:hAnsi="Times New Roman" w:eastAsia="Times New Roman" w:cs="Times New Roman"/>
          <w:b w:val="0"/>
          <w:bCs w:val="0"/>
          <w:i w:val="0"/>
          <w:iCs w:val="0"/>
          <w:noProof w:val="0"/>
          <w:color w:val="auto"/>
          <w:sz w:val="26"/>
          <w:szCs w:val="26"/>
          <w:lang w:val="en-US"/>
        </w:rPr>
        <w:t xml:space="preserve"> a commitment to leaving no one behind in the digital age. The path forward requires both immediate </w:t>
      </w:r>
      <w:r w:rsidRPr="43A80BFA" w:rsidR="1616BF36">
        <w:rPr>
          <w:rFonts w:ascii="Times New Roman" w:hAnsi="Times New Roman" w:eastAsia="Times New Roman" w:cs="Times New Roman"/>
          <w:b w:val="0"/>
          <w:bCs w:val="0"/>
          <w:i w:val="0"/>
          <w:iCs w:val="0"/>
          <w:noProof w:val="0"/>
          <w:color w:val="auto"/>
          <w:sz w:val="26"/>
          <w:szCs w:val="26"/>
          <w:lang w:val="en-US"/>
        </w:rPr>
        <w:t>action</w:t>
      </w:r>
      <w:r w:rsidRPr="43A80BFA" w:rsidR="1616BF36">
        <w:rPr>
          <w:rFonts w:ascii="Times New Roman" w:hAnsi="Times New Roman" w:eastAsia="Times New Roman" w:cs="Times New Roman"/>
          <w:b w:val="0"/>
          <w:bCs w:val="0"/>
          <w:i w:val="0"/>
          <w:iCs w:val="0"/>
          <w:noProof w:val="0"/>
          <w:color w:val="auto"/>
          <w:sz w:val="26"/>
          <w:szCs w:val="26"/>
          <w:lang w:val="en-US"/>
        </w:rPr>
        <w:t xml:space="preserve"> to address current disparities and long-term planning to ensure sustainable, inclusive digital development for future generations.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7">
    <w:nsid w:val="5e523d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c1cd6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d9623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dbc943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7394e9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9041c5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34e9b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8d1ce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42df3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6998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d5c86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30806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b1c27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eb125d5"/>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6632c3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0454dc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17ed05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6e7bd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b4b71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0cd77d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9629a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caed13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41999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8c9b09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e1623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e696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9828a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b64a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83d2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2426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8424c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d52ac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bd85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e8e00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c43f5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b162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8147b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1F6086"/>
    <w:rsid w:val="012E497A"/>
    <w:rsid w:val="0657BCEC"/>
    <w:rsid w:val="0B9DB739"/>
    <w:rsid w:val="1616BF36"/>
    <w:rsid w:val="191C14C7"/>
    <w:rsid w:val="1B327C54"/>
    <w:rsid w:val="1FB62079"/>
    <w:rsid w:val="1FFB0539"/>
    <w:rsid w:val="213F3C00"/>
    <w:rsid w:val="2547377E"/>
    <w:rsid w:val="26CE52E8"/>
    <w:rsid w:val="35EB0F16"/>
    <w:rsid w:val="366A3AC6"/>
    <w:rsid w:val="38C28138"/>
    <w:rsid w:val="43A80BFA"/>
    <w:rsid w:val="4B738EBA"/>
    <w:rsid w:val="4E5E2F4F"/>
    <w:rsid w:val="52F81A6C"/>
    <w:rsid w:val="60A8A2B7"/>
    <w:rsid w:val="63841E52"/>
    <w:rsid w:val="65DFAEE7"/>
    <w:rsid w:val="6C31FBB1"/>
    <w:rsid w:val="6D6CC36E"/>
    <w:rsid w:val="737C70CA"/>
    <w:rsid w:val="740F31AE"/>
    <w:rsid w:val="761F6086"/>
    <w:rsid w:val="7980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6086"/>
  <w15:chartTrackingRefBased/>
  <w15:docId w15:val="{70B9CC06-0B68-423E-8C6A-09175C2C42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f22890f620e44334" Type="http://schemas.openxmlformats.org/officeDocument/2006/relationships/hyperlink" Target="https://www.worldbank.org/digitaldevelopment" TargetMode="External"/><Relationship Id="R2eb2c143098f4f05" Type="http://schemas.openxmlformats.org/officeDocument/2006/relationships/hyperlink" Target="https://www.internetsociety.org/" TargetMode="Externa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648c6f9deb5e4978" Type="http://schemas.openxmlformats.org/officeDocument/2006/relationships/hyperlink" Target="https://www.unesco.org/" TargetMode="External"/><Relationship Id="rId1" Type="http://schemas.openxmlformats.org/officeDocument/2006/relationships/styles" Target="styles.xml"/><Relationship Id="Rbea71ab404944579" Type="http://schemas.openxmlformats.org/officeDocument/2006/relationships/hyperlink" Target="https://www.itu.int/" TargetMode="External"/><Relationship Id="rId6" Type="http://schemas.openxmlformats.org/officeDocument/2006/relationships/customXml" Target="../customXml/item1.xml"/><Relationship Id="rId5" Type="http://schemas.openxmlformats.org/officeDocument/2006/relationships/theme" Target="theme/theme1.xml"/><Relationship Id="Rb1297ab7ea704765" Type="http://schemas.openxmlformats.org/officeDocument/2006/relationships/numbering" Target="numbering.xml"/><Relationship Id="rId4" Type="http://schemas.openxmlformats.org/officeDocument/2006/relationships/fontTable" Target="fontTable.xml"/><Relationship Id="R2789d7d941af4c3f" Type="http://schemas.openxmlformats.org/officeDocument/2006/relationships/hyperlink" Target="https://a4ai.org/" TargetMode="Externa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D455C7-54E2-431B-8578-436A9F49997A}"/>
</file>

<file path=customXml/itemProps2.xml><?xml version="1.0" encoding="utf-8"?>
<ds:datastoreItem xmlns:ds="http://schemas.openxmlformats.org/officeDocument/2006/customXml" ds:itemID="{314DD9CD-EC83-4C38-BA19-D4D36D568491}"/>
</file>

<file path=customXml/itemProps3.xml><?xml version="1.0" encoding="utf-8"?>
<ds:datastoreItem xmlns:ds="http://schemas.openxmlformats.org/officeDocument/2006/customXml" ds:itemID="{3F22E4F7-8114-4B27-875F-E3167DD06B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Ravjoth Brar (rbrar208713 - 11M1)</dc:creator>
  <cp:keywords/>
  <dc:description/>
  <cp:lastModifiedBy>Ravjoth Brar (rbrar208713 - 11M1)</cp:lastModifiedBy>
  <dcterms:created xsi:type="dcterms:W3CDTF">2024-11-27T17:21:40Z</dcterms:created>
  <dcterms:modified xsi:type="dcterms:W3CDTF">2024-11-27T18:30:46Z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