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3DDCF48" wp14:paraId="394E83B1" wp14:textId="6DD74CED">
      <w:pPr>
        <w:pStyle w:val="Heading1"/>
        <w:keepNext w:val="1"/>
        <w:keepLines w:val="1"/>
        <w:spacing w:before="322" w:beforeAutospacing="off" w:after="322" w:afterAutospacing="off"/>
        <w:rPr>
          <w:rFonts w:ascii="Times New Roman" w:hAnsi="Times New Roman" w:eastAsia="Times New Roman" w:cs="Times New Roman"/>
          <w:b w:val="0"/>
          <w:bCs w:val="0"/>
          <w:i w:val="0"/>
          <w:iCs w:val="0"/>
          <w:caps w:val="0"/>
          <w:smallCaps w:val="0"/>
          <w:noProof w:val="0"/>
          <w:color w:val="auto"/>
          <w:sz w:val="48"/>
          <w:szCs w:val="48"/>
          <w:lang w:val="en-US"/>
        </w:rPr>
      </w:pPr>
      <w:r w:rsidRPr="73DDCF48" w:rsidR="06E90291">
        <w:rPr>
          <w:rFonts w:ascii="Times New Roman" w:hAnsi="Times New Roman" w:eastAsia="Times New Roman" w:cs="Times New Roman"/>
          <w:b w:val="0"/>
          <w:bCs w:val="0"/>
          <w:i w:val="0"/>
          <w:iCs w:val="0"/>
          <w:caps w:val="0"/>
          <w:smallCaps w:val="0"/>
          <w:noProof w:val="0"/>
          <w:color w:val="auto"/>
          <w:sz w:val="48"/>
          <w:szCs w:val="48"/>
          <w:lang w:val="en-US"/>
        </w:rPr>
        <w:t>The Question of Strengthening Global Access to Education</w:t>
      </w:r>
    </w:p>
    <w:p w:rsidR="019D161C" w:rsidP="58EA9849" w:rsidRDefault="019D161C" w14:paraId="232857EB" w14:textId="7B473114">
      <w:pPr>
        <w:pStyle w:val="Heading3"/>
        <w:keepNext w:val="1"/>
        <w:keepLines w:val="1"/>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Summary:</w:t>
      </w:r>
    </w:p>
    <w:p w:rsidR="019D161C" w:rsidP="58EA9849" w:rsidRDefault="019D161C" w14:paraId="79F4D584" w14:textId="79F5CAEF">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Despite significant progress in recent decades, approximately 258 million children and youth remain out of school globally, with millions more receiving inadequate education. This educational exclusion creates profound disparities in economic opportunities, social mobility, and civic participation. This briefing paper examines the critical challenges and potential solutions for strengthening global access to education as a fundamental driver of human development and social equity. The document explores infrastructure development, economic barriers, quality considerations, and policy frameworks necessary to achieve universal educational access. It emphasizes the need for coordinated international action across public and private sectors to ensure that quality education becomes truly accessible to all, regardless of geography, socioeconomic status, gender, or other potential barriers.</w:t>
      </w:r>
    </w:p>
    <w:p w:rsidR="019D161C" w:rsidP="58EA9849" w:rsidRDefault="019D161C" w14:paraId="37629780" w14:textId="7BD0096C">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Key Terms and Definitions:</w:t>
      </w:r>
    </w:p>
    <w:p w:rsidR="019D161C" w:rsidP="58EA9849" w:rsidRDefault="019D161C" w14:paraId="47500845" w14:textId="0ABD0563">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Educational Access encompasses the ability to participate fully in learning opportunities through reliable school infrastructure, appropriate learning materials, and qualified teachers. This includes both physical access to educational institutions and the ability to engage meaningfully with curriculum.</w:t>
      </w:r>
    </w:p>
    <w:p w:rsidR="019D161C" w:rsidP="58EA9849" w:rsidRDefault="019D161C" w14:paraId="4B521DAC" w14:textId="23D1BEC3">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Educational Equity refers to the fair distribution of educational resources, opportunities, and outcomes across all segments of society, requiring systems that provide additional support to disadvantaged populations to overcome structural barriers.</w:t>
      </w:r>
    </w:p>
    <w:p w:rsidR="019D161C" w:rsidP="58EA9849" w:rsidRDefault="019D161C" w14:paraId="2CEBB6AA" w14:textId="6B2B55E9">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Quality Education represents learning experiences that develop relevant knowledge, skills, and values needed for personal development, employment, and civic participation. This includes both foundational skills in literacy and numeracy and higher-order competencies like critical thinking.</w:t>
      </w:r>
    </w:p>
    <w:p w:rsidR="019D161C" w:rsidP="58EA9849" w:rsidRDefault="019D161C" w14:paraId="1D3F8AF2" w14:textId="5C4761B9">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Educational Inclusion describes the process of ensuring all individuals and communities can access and benefit from educational opportunities, regardless of socioeconomic status, geographic location, gender, disability, or other potential barriers. This concept emphasizes both access and meaningful participation.</w:t>
      </w:r>
    </w:p>
    <w:p w:rsidR="019D161C" w:rsidP="58EA9849" w:rsidRDefault="019D161C" w14:paraId="68DCB35E" w14:textId="7023FF84">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Introduction and Historical Context:</w:t>
      </w:r>
    </w:p>
    <w:p w:rsidR="019D161C" w:rsidP="58EA9849" w:rsidRDefault="019D161C" w14:paraId="516396B8" w14:textId="76755497">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The concept of education as a human right has evolved from traditional frameworks, particularly the Universal Declaration of Human Rights (1948), which established education as a fundamental right in Article 26. Subsequent international agreements have strengthened this framework, with the UNESCO Convention against Discrimination in Education (1960) and the International Covenant on Economic, Social and Cultural Rights (1966) expanding protection for educational rights.</w:t>
      </w:r>
    </w:p>
    <w:p w:rsidR="019D161C" w:rsidP="58EA9849" w:rsidRDefault="019D161C" w14:paraId="08EBE36F" w14:textId="48D63CB3">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The Education for All initiative (1990) marked a significant milestone by establishing global targets for universal primary education, while the Millennium Development Goals (2000) further prioritized educational access. The adoption of the Sustainable Development Goals in 2015 represented a comprehensive expansion of the global education agenda through SDG 4, which calls for "inclusive and equitable quality education and lifelong learning opportunities for all."</w:t>
      </w:r>
    </w:p>
    <w:p w:rsidR="019D161C" w:rsidP="58EA9849" w:rsidRDefault="019D161C" w14:paraId="6ADE8399" w14:textId="314D45EE">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These frameworks reflect an evolving understanding of education not merely as academic instruction but as a comprehensive right encompassing accessibility, quality, inclusion, and lifelong learning opportunities. Despite these commitments, significant gaps remain between global aspirations and educational realities in many regions.</w:t>
      </w:r>
    </w:p>
    <w:p w:rsidR="019D161C" w:rsidP="58EA9849" w:rsidRDefault="019D161C" w14:paraId="4A962156" w14:textId="09162F3C">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Current Global Situation:</w:t>
      </w:r>
    </w:p>
    <w:p w:rsidR="019D161C" w:rsidP="58EA9849" w:rsidRDefault="019D161C" w14:paraId="2CE633F4" w14:textId="172D6FA7">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The global education landscape reveals persistent disparities across multiple dimensions, creating complex patterns of exclusion and inequality. Geographic disparities remain particularly stark, with Sub-Saharan Africa reporting primary school completion rates of only 64% compared to over 95% in high-income regions. Rural-urban divides further compound these disparities, with rural children often having access to fewer resources and less qualified teachers.</w:t>
      </w:r>
    </w:p>
    <w:p w:rsidR="019D161C" w:rsidP="58EA9849" w:rsidRDefault="019D161C" w14:paraId="6E448EC3" w14:textId="7FA02935">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Economic barriers present significant challenges to universal access. In many countries, despite nominally free public education, hidden costs like uniforms, books, and transportation remain prohibitive for low-income families. Higher education costs create additional barriers to educational advancement, particularly in contexts without robust scholarship systems or affordable student loans.</w:t>
      </w:r>
    </w:p>
    <w:p w:rsidR="019D161C" w:rsidP="58EA9849" w:rsidRDefault="019D161C" w14:paraId="7DA35C76" w14:textId="11D26AE9">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Social inequalities compound these economic challenges. Gender gaps in educational access persist, particularly at secondary and tertiary levels in certain regions. Persons with disabilities face additional barriers to meaningful educational participation, often lacking appropriate accommodations or specialized support. Ethnic minorities and indigenous populations frequently encounter educational systems that fail to accommodate linguistic diversity or cultural contexts.</w:t>
      </w:r>
    </w:p>
    <w:p w:rsidR="019D161C" w:rsidP="58EA9849" w:rsidRDefault="019D161C" w14:paraId="78491C8A" w14:textId="59426C69">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Educational quality varies dramatically across and within countries. Teacher shortages and inadequate training undermine educational effectiveness in many contexts, with an estimated global shortage of 69 million teachers. Infrastructure deficiencies, from inadequate buildings to limited learning materials, further compromise educational quality and outcomes.</w:t>
      </w:r>
    </w:p>
    <w:p w:rsidR="019D161C" w:rsidP="58EA9849" w:rsidRDefault="019D161C" w14:paraId="6B529E25" w14:textId="7575B0EE">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Critical Challenges:</w:t>
      </w:r>
    </w:p>
    <w:p w:rsidR="019D161C" w:rsidP="58EA9849" w:rsidRDefault="019D161C" w14:paraId="7B234C34" w14:textId="3DED3824">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Infrastructure development remains fundamental to ensuring universal educational access, particularly in developing nations and rural areas. The challenge of providing adequate school facilities in remote regions requires innovative solutions and significant investment. Distance to schools creates safety concerns, especially for girls in certain cultural contexts, while inadequate facilities for students with disabilities limit meaningful inclusion.</w:t>
      </w:r>
    </w:p>
    <w:p w:rsidR="019D161C" w:rsidP="58EA9849" w:rsidRDefault="019D161C" w14:paraId="0AF98162" w14:textId="5DB4073E">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Economic accessibility poses ongoing challenges through direct and indirect educational costs. Even when tuition is officially free, associated expenses create significant barriers for low-income families. Limited social protection mechanisms often force educational trade-offs within households, with girls and children with disabilities frequently receiving lower priority. Educational financing models that rely heavily on local tax bases perpetuate inequalities between wealthy and poor districts.</w:t>
      </w:r>
    </w:p>
    <w:p w:rsidR="019D161C" w:rsidP="58EA9849" w:rsidRDefault="019D161C" w14:paraId="4C3AEEB9" w14:textId="33513BF0">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Quality considerations require significant attention, especially in educational systems lacking comprehensive teacher development programs. The challenge extends beyond basic infrastructure to include appropriate curriculum design, teaching methodologies, and assessment systems. Digital divides further exacerbate quality disparities, with many schools lacking essential technological resources.</w:t>
      </w:r>
    </w:p>
    <w:p w:rsidR="019D161C" w:rsidP="58EA9849" w:rsidRDefault="019D161C" w14:paraId="15CC0277" w14:textId="3BF206C3">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Governance and coordination challenges impede progress toward educational goals. Fragmentation of educational initiatives across multiple agencies creates inefficiencies and gaps in service delivery. Weak accountability mechanisms limit the effectiveness of educational investments, while political instability in certain regions disrupts educational progress and planning.</w:t>
      </w:r>
    </w:p>
    <w:p w:rsidR="019D161C" w:rsidP="58EA9849" w:rsidRDefault="019D161C" w14:paraId="64BF3F81" w14:textId="13AD2002">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International Response Mechanisms:</w:t>
      </w:r>
    </w:p>
    <w:p w:rsidR="019D161C" w:rsidP="58EA9849" w:rsidRDefault="019D161C" w14:paraId="3635AADE" w14:textId="4CC07B70">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The global community has developed various approaches to address educational access challenges. Public-private partnerships have emerged as a crucial mechanism for expanding educational opportunities, with initiatives like the Global Partnership for Education exemplifying this approach by bringing together government resources and private sector expertise. These partnerships leverage additional resources while maintaining public oversight and social responsibility.</w:t>
      </w:r>
    </w:p>
    <w:p w:rsidR="019D161C" w:rsidP="58EA9849" w:rsidRDefault="019D161C" w14:paraId="6E4C0CDB" w14:textId="4C8F706F">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Regional programs have demonstrated significant promise in advancing educational access. The European Union's Erasmus+ program establishes comprehensive frameworks for educational mobility and capacity building, setting standards that influence global practice. The Association for the Development of Education in Africa (ADEA) presents a continental approach to educational development, focusing on policy dialogue, knowledge exchange, and advocacy for increased investment in education.</w:t>
      </w:r>
    </w:p>
    <w:p w:rsidR="019D161C" w:rsidP="58EA9849" w:rsidRDefault="019D161C" w14:paraId="45D94804" w14:textId="576AFF4D">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International organizations continue to drive progress through targeted initiatives. UNESCO's educational quality initiatives provide essential technical expertise and policy guidance for expanding effective learning in challenging environments. UNICEF's Education in Emergencies programs specifically target educational continuity during humanitarian crises, while the World Bank's financing mechanisms support systemic educational reforms in developing countries.</w:t>
      </w:r>
    </w:p>
    <w:p w:rsidR="019D161C" w:rsidP="58EA9849" w:rsidRDefault="019D161C" w14:paraId="54CF3BA7" w14:textId="70E10FBD">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Recommended Solutions:</w:t>
      </w:r>
    </w:p>
    <w:p w:rsidR="019D161C" w:rsidP="58EA9849" w:rsidRDefault="019D161C" w14:paraId="76F938DE" w14:textId="2BB7CC48">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A comprehensive policy framework must underpin efforts to strengthen global educational access. This begins with explicit reaffirmation of education as a fundamental right within national constitutions and international law. Equity-focused policies should prioritize support for marginalized populations, including targeted resource allocation to underserved areas and groups. Cross-sectoral coordination mechanisms must align educational initiatives with health, social protection, and economic development efforts.</w:t>
      </w:r>
    </w:p>
    <w:p w:rsidR="019D161C" w:rsidP="58EA9849" w:rsidRDefault="019D161C" w14:paraId="626AD4D2" w14:textId="34F4FAC6">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Infrastructure development requires sustained, coordinated effort across stakeholders. International infrastructure funding mechanisms should prioritize regions where local resources prove insufficient. Innovative educational delivery models, including community schools and mobile education units, deserve support through policy and funding initiatives. The integration of digital infrastructure with educational systems requires particular attention, especially in regions with limited technological access.</w:t>
      </w:r>
    </w:p>
    <w:p w:rsidR="019D161C" w:rsidP="58EA9849" w:rsidRDefault="019D161C" w14:paraId="2174E010" w14:textId="7592947A">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Educational inclusion demands a nuanced approach to social and cultural dimensions of access. Comprehensive teacher training programs must include inclusive education principles and methodologies. Gender-responsive education policies should address specific barriers affecting girls' participation, including safety concerns and early marriage. The development of culturally responsive and multilingual education programs must be prioritized to ensure relevance for diverse populations.</w:t>
      </w:r>
    </w:p>
    <w:p w:rsidR="019D161C" w:rsidP="58EA9849" w:rsidRDefault="019D161C" w14:paraId="3FA76EE6" w14:textId="193DA9BC">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Financial mechanisms play an essential role in achieving universal educational access. Dedicated international education funds should operate with clear governance structures and accountability mechanisms. Sustainable funding models must support both initial infrastructure development and ongoing educational quality improvements. Innovative financing approaches, including results-based funding and impact bonds, offer promising alternatives to traditional aid models.</w:t>
      </w:r>
    </w:p>
    <w:p w:rsidR="019D161C" w:rsidP="58EA9849" w:rsidRDefault="019D161C" w14:paraId="5D54C3A5" w14:textId="2608B814">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Useful Resources:</w:t>
      </w:r>
    </w:p>
    <w:p w:rsidR="019D161C" w:rsidP="58EA9849" w:rsidRDefault="019D161C" w14:paraId="33A10FB8" w14:textId="1A93E32F">
      <w:pPr>
        <w:pStyle w:val="ListParagraph"/>
        <w:numPr>
          <w:ilvl w:val="0"/>
          <w:numId w:val="2"/>
        </w:numPr>
        <w:spacing w:before="0" w:beforeAutospacing="off" w:after="0" w:afterAutospacing="off"/>
        <w:rPr>
          <w:rFonts w:ascii="Times New Roman" w:hAnsi="Times New Roman" w:eastAsia="Times New Roman" w:cs="Times New Roman"/>
          <w:noProof w:val="0"/>
          <w:sz w:val="26"/>
          <w:szCs w:val="26"/>
          <w:lang w:val="en-US"/>
        </w:rPr>
      </w:pPr>
      <w:r w:rsidRPr="58EA9849" w:rsidR="019D161C">
        <w:rPr>
          <w:rFonts w:ascii="Times New Roman" w:hAnsi="Times New Roman" w:eastAsia="Times New Roman" w:cs="Times New Roman"/>
          <w:noProof w:val="0"/>
          <w:sz w:val="26"/>
          <w:szCs w:val="26"/>
          <w:lang w:val="en-US"/>
        </w:rPr>
        <w:t xml:space="preserve">UNESCO Global Education Monitoring Report: </w:t>
      </w:r>
      <w:hyperlink r:id="R3dbe4ba0eed34ed2">
        <w:r w:rsidRPr="58EA9849" w:rsidR="019D161C">
          <w:rPr>
            <w:rStyle w:val="Hyperlink"/>
            <w:rFonts w:ascii="Times New Roman" w:hAnsi="Times New Roman" w:eastAsia="Times New Roman" w:cs="Times New Roman"/>
            <w:noProof w:val="0"/>
            <w:sz w:val="26"/>
            <w:szCs w:val="26"/>
            <w:lang w:val="en-US"/>
          </w:rPr>
          <w:t>https://en.unesco.org/gem-report/</w:t>
        </w:r>
      </w:hyperlink>
    </w:p>
    <w:p w:rsidR="019D161C" w:rsidP="58EA9849" w:rsidRDefault="019D161C" w14:paraId="1786F66E" w14:textId="2363887D">
      <w:pPr>
        <w:pStyle w:val="ListParagraph"/>
        <w:numPr>
          <w:ilvl w:val="0"/>
          <w:numId w:val="2"/>
        </w:numPr>
        <w:spacing w:before="0" w:beforeAutospacing="off" w:after="0" w:afterAutospacing="off"/>
        <w:rPr>
          <w:rFonts w:ascii="Times New Roman" w:hAnsi="Times New Roman" w:eastAsia="Times New Roman" w:cs="Times New Roman"/>
          <w:noProof w:val="0"/>
          <w:sz w:val="26"/>
          <w:szCs w:val="26"/>
          <w:lang w:val="en-US"/>
        </w:rPr>
      </w:pPr>
      <w:r w:rsidRPr="58EA9849" w:rsidR="019D161C">
        <w:rPr>
          <w:rFonts w:ascii="Times New Roman" w:hAnsi="Times New Roman" w:eastAsia="Times New Roman" w:cs="Times New Roman"/>
          <w:noProof w:val="0"/>
          <w:sz w:val="26"/>
          <w:szCs w:val="26"/>
          <w:lang w:val="en-US"/>
        </w:rPr>
        <w:t xml:space="preserve">Global Partnership for Education: </w:t>
      </w:r>
      <w:hyperlink r:id="R75d56cb5386c4862">
        <w:r w:rsidRPr="58EA9849" w:rsidR="019D161C">
          <w:rPr>
            <w:rStyle w:val="Hyperlink"/>
            <w:rFonts w:ascii="Times New Roman" w:hAnsi="Times New Roman" w:eastAsia="Times New Roman" w:cs="Times New Roman"/>
            <w:noProof w:val="0"/>
            <w:sz w:val="26"/>
            <w:szCs w:val="26"/>
            <w:lang w:val="en-US"/>
          </w:rPr>
          <w:t>https://www.globalpartnership.org</w:t>
        </w:r>
      </w:hyperlink>
    </w:p>
    <w:p w:rsidR="019D161C" w:rsidP="58EA9849" w:rsidRDefault="019D161C" w14:paraId="1F150D63" w14:textId="5C7E27EE">
      <w:pPr>
        <w:pStyle w:val="ListParagraph"/>
        <w:numPr>
          <w:ilvl w:val="0"/>
          <w:numId w:val="2"/>
        </w:numPr>
        <w:spacing w:before="0" w:beforeAutospacing="off" w:after="0" w:afterAutospacing="off"/>
        <w:rPr>
          <w:rFonts w:ascii="Times New Roman" w:hAnsi="Times New Roman" w:eastAsia="Times New Roman" w:cs="Times New Roman"/>
          <w:noProof w:val="0"/>
          <w:sz w:val="26"/>
          <w:szCs w:val="26"/>
          <w:lang w:val="en-US"/>
        </w:rPr>
      </w:pPr>
      <w:r w:rsidRPr="58EA9849" w:rsidR="019D161C">
        <w:rPr>
          <w:rFonts w:ascii="Times New Roman" w:hAnsi="Times New Roman" w:eastAsia="Times New Roman" w:cs="Times New Roman"/>
          <w:noProof w:val="0"/>
          <w:sz w:val="26"/>
          <w:szCs w:val="26"/>
          <w:lang w:val="en-US"/>
        </w:rPr>
        <w:t xml:space="preserve">World Bank Education Global Practice: </w:t>
      </w:r>
      <w:hyperlink r:id="R2d049b2cc8fd4980">
        <w:r w:rsidRPr="58EA9849" w:rsidR="019D161C">
          <w:rPr>
            <w:rStyle w:val="Hyperlink"/>
            <w:rFonts w:ascii="Times New Roman" w:hAnsi="Times New Roman" w:eastAsia="Times New Roman" w:cs="Times New Roman"/>
            <w:noProof w:val="0"/>
            <w:sz w:val="26"/>
            <w:szCs w:val="26"/>
            <w:lang w:val="en-US"/>
          </w:rPr>
          <w:t>https://www.worldbank.org/en/topic/education</w:t>
        </w:r>
      </w:hyperlink>
    </w:p>
    <w:p w:rsidR="019D161C" w:rsidP="58EA9849" w:rsidRDefault="019D161C" w14:paraId="31C4B882" w14:textId="68B4C036">
      <w:pPr>
        <w:pStyle w:val="ListParagraph"/>
        <w:numPr>
          <w:ilvl w:val="0"/>
          <w:numId w:val="2"/>
        </w:numPr>
        <w:spacing w:before="0" w:beforeAutospacing="off" w:after="0" w:afterAutospacing="off"/>
        <w:rPr>
          <w:rFonts w:ascii="Times New Roman" w:hAnsi="Times New Roman" w:eastAsia="Times New Roman" w:cs="Times New Roman"/>
          <w:noProof w:val="0"/>
          <w:sz w:val="26"/>
          <w:szCs w:val="26"/>
          <w:lang w:val="en-US"/>
        </w:rPr>
      </w:pPr>
      <w:r w:rsidRPr="58EA9849" w:rsidR="019D161C">
        <w:rPr>
          <w:rFonts w:ascii="Times New Roman" w:hAnsi="Times New Roman" w:eastAsia="Times New Roman" w:cs="Times New Roman"/>
          <w:noProof w:val="0"/>
          <w:sz w:val="26"/>
          <w:szCs w:val="26"/>
          <w:lang w:val="en-US"/>
        </w:rPr>
        <w:t xml:space="preserve">UNICEF Education Programs: </w:t>
      </w:r>
      <w:hyperlink r:id="R71d9b0bd9b234bd2">
        <w:r w:rsidRPr="58EA9849" w:rsidR="019D161C">
          <w:rPr>
            <w:rStyle w:val="Hyperlink"/>
            <w:rFonts w:ascii="Times New Roman" w:hAnsi="Times New Roman" w:eastAsia="Times New Roman" w:cs="Times New Roman"/>
            <w:noProof w:val="0"/>
            <w:sz w:val="26"/>
            <w:szCs w:val="26"/>
            <w:lang w:val="en-US"/>
          </w:rPr>
          <w:t>https://www.unicef.org/education</w:t>
        </w:r>
      </w:hyperlink>
    </w:p>
    <w:p w:rsidR="019D161C" w:rsidP="58EA9849" w:rsidRDefault="019D161C" w14:paraId="17BECF08" w14:textId="1C12D9C8">
      <w:pPr>
        <w:pStyle w:val="ListParagraph"/>
        <w:numPr>
          <w:ilvl w:val="0"/>
          <w:numId w:val="2"/>
        </w:numPr>
        <w:spacing w:before="0" w:beforeAutospacing="off" w:after="0" w:afterAutospacing="off"/>
        <w:rPr>
          <w:rFonts w:ascii="Times New Roman" w:hAnsi="Times New Roman" w:eastAsia="Times New Roman" w:cs="Times New Roman"/>
          <w:noProof w:val="0"/>
          <w:sz w:val="26"/>
          <w:szCs w:val="26"/>
          <w:lang w:val="en-US"/>
        </w:rPr>
      </w:pPr>
      <w:r w:rsidRPr="58EA9849" w:rsidR="019D161C">
        <w:rPr>
          <w:rFonts w:ascii="Times New Roman" w:hAnsi="Times New Roman" w:eastAsia="Times New Roman" w:cs="Times New Roman"/>
          <w:noProof w:val="0"/>
          <w:sz w:val="26"/>
          <w:szCs w:val="26"/>
          <w:lang w:val="en-US"/>
        </w:rPr>
        <w:t xml:space="preserve">Inter-Agency Network for Education in Emergencies: </w:t>
      </w:r>
      <w:hyperlink r:id="R1343740ab9234c03">
        <w:r w:rsidRPr="58EA9849" w:rsidR="019D161C">
          <w:rPr>
            <w:rStyle w:val="Hyperlink"/>
            <w:rFonts w:ascii="Times New Roman" w:hAnsi="Times New Roman" w:eastAsia="Times New Roman" w:cs="Times New Roman"/>
            <w:noProof w:val="0"/>
            <w:sz w:val="26"/>
            <w:szCs w:val="26"/>
            <w:lang w:val="en-US"/>
          </w:rPr>
          <w:t>https://inee.org</w:t>
        </w:r>
      </w:hyperlink>
    </w:p>
    <w:p w:rsidR="019D161C" w:rsidP="58EA9849" w:rsidRDefault="019D161C" w14:paraId="5D414B81" w14:textId="77AD784A">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Conclusion:</w:t>
      </w:r>
    </w:p>
    <w:p w:rsidR="019D161C" w:rsidP="58EA9849" w:rsidRDefault="019D161C" w14:paraId="3A41F850" w14:textId="41E96696">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Strengthening global access to education requires sustained, coordinated action across multiple stakeholders and sectors. While the challenge is substantial, the cost of inaction -- in terms of human development, economic opportunity, and social equity -- far outweighs the investment required. Success demands a holistic approach that simultaneously addresses infrastructure, affordability, quality, and governance frameworks.</w:t>
      </w:r>
    </w:p>
    <w:p w:rsidR="019D161C" w:rsidP="58EA9849" w:rsidRDefault="019D161C" w14:paraId="74CF2C72" w14:textId="1687089D">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As societies continue to evolve and face new challenges, the imperative to ensure universal educational access grows stronger. The international community must work together to develop innovative solutions, share resources and expertise, and maintain a commitment to leaving no one behind in educational development. The path forward requires both immediate action to address current disparities and long-term planning to ensure sustainable, inclusive educational systems for future generations.</w:t>
      </w:r>
    </w:p>
    <w:p w:rsidR="019D161C" w:rsidP="58EA9849" w:rsidRDefault="019D161C" w14:paraId="31BDB7F9" w14:textId="0B0273B7">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Educational access is not merely a technical challenge but a profound moral imperative that underpins sustainable development, social justice, and human dignity. By working collectively to overcome the barriers that prevent millions from realizing their educational potential, the global community can build more prosperous, peaceful, and equitable societies for all.</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3679253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500636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5E01"/>
    <w:rsid w:val="019D161C"/>
    <w:rsid w:val="06E90291"/>
    <w:rsid w:val="264F5E01"/>
    <w:rsid w:val="291EDBF4"/>
    <w:rsid w:val="41E295C2"/>
    <w:rsid w:val="58EA9849"/>
    <w:rsid w:val="6D213D70"/>
    <w:rsid w:val="72D3D883"/>
    <w:rsid w:val="73DDC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5E01"/>
  <w15:chartTrackingRefBased/>
  <w15:docId w15:val="{16CF0B1B-6A7F-4C61-AE15-D0E2E1E8D1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78b2980e7ce415c" /><Relationship Type="http://schemas.openxmlformats.org/officeDocument/2006/relationships/hyperlink" Target="https://en.unesco.org/gem-report/" TargetMode="External" Id="R3dbe4ba0eed34ed2" /><Relationship Type="http://schemas.openxmlformats.org/officeDocument/2006/relationships/hyperlink" Target="https://www.globalpartnership.org/" TargetMode="External" Id="R75d56cb5386c4862" /><Relationship Type="http://schemas.openxmlformats.org/officeDocument/2006/relationships/hyperlink" Target="https://www.worldbank.org/en/topic/education" TargetMode="External" Id="R2d049b2cc8fd4980" /><Relationship Type="http://schemas.openxmlformats.org/officeDocument/2006/relationships/hyperlink" Target="https://www.unicef.org/education" TargetMode="External" Id="R71d9b0bd9b234bd2" /><Relationship Type="http://schemas.openxmlformats.org/officeDocument/2006/relationships/hyperlink" Target="https://inee.org/" TargetMode="External" Id="R1343740ab9234c0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2024-11-27T18:34:42.0087592Z</dcterms:created>
  <dcterms:modified xsi:type="dcterms:W3CDTF">2025-03-10T18:35:05.5561351Z</dcterms:modified>
  <dc:creator>Ravjoth Brar (rbrar208713 - 11M1)</dc:creator>
  <lastModifiedBy>Ravjoth Brar (rbrar208713 - 11M1)</lastModifiedBy>
</coreProperties>
</file>