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60" w:lineRule="auto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60" w:lineRule="auto"/>
        <w:jc w:val="center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Rules for Resolutions and Lobbying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It is strongly recommended that resolutions are pre-uploaded to the online Approvals Panel in advance of the conference.</w:t>
      </w: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 There are three key benefits of uploading resolutions before the conference: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160" w:line="360" w:lineRule="auto"/>
        <w:ind w:left="144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You will not have to deal with any unnecessary waiting times during the conference.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160" w:line="360" w:lineRule="auto"/>
        <w:ind w:left="144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As resolutions are approved before the conference, you will have the opportunity to correct your resolution if it is rejected.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160" w:line="360" w:lineRule="auto"/>
        <w:ind w:left="144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Your resolution will have a significantly higher chance of being selected for committee.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The top of each resolution must detail the resolution’s committee, question and main submitter(s).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Resolutions must be addressed to the General Assembly (except resolutions in the Security Council which must be addressed to the Security Council).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All operative clauses must be numbered, all sub-clauses must begin with a), b), c), etc, and all sub-sub clauses must begin with i), ii), iii) etc.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Each preambulatory clause must be followed by a comma, and each operative clause must be followed by a semicolon (except the last operative clause which must be followed by a full stop – no full stop should appear elsewhere in the resolution).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There is a clause limit of 15 operative clauses per resolution (20 for the Security Council), including sub-clauses. Please note that, when counting sub-clauses, the clause which they are subsidiary to should not be counted. For example, the following operative clause contains three (not four) clauses for counting purposes:</w:t>
      </w:r>
    </w:p>
    <w:p w:rsidR="00000000" w:rsidDel="00000000" w:rsidP="00000000" w:rsidRDefault="00000000" w:rsidRPr="00000000" w14:paraId="0000000C">
      <w:pPr>
        <w:spacing w:after="160" w:line="360" w:lineRule="auto"/>
        <w:ind w:left="720" w:firstLine="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sz w:val="24"/>
          <w:szCs w:val="24"/>
          <w:rtl w:val="0"/>
        </w:rPr>
        <w:t xml:space="preserve">Proposes that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sz w:val="24"/>
          <w:szCs w:val="24"/>
          <w:rtl w:val="0"/>
        </w:rPr>
        <w:t xml:space="preserve">a UNBWS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sz w:val="24"/>
          <w:szCs w:val="24"/>
          <w:rtl w:val="0"/>
        </w:rPr>
        <w:t xml:space="preserve"> (United Nations Body for Water Sanitation), a subbody of the UNDP (United Nations Development Programme) with additional funding from the UN, be created in order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160" w:line="360" w:lineRule="auto"/>
        <w:ind w:left="1440" w:hanging="360"/>
        <w:rPr>
          <w:rFonts w:ascii="Helvetica Neue Light" w:cs="Helvetica Neue Light" w:eastAsia="Helvetica Neue Light" w:hAnsi="Helvetica Neue Light"/>
          <w:i w:val="1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i w:val="1"/>
          <w:sz w:val="24"/>
          <w:szCs w:val="24"/>
          <w:rtl w:val="0"/>
        </w:rPr>
        <w:t xml:space="preserve">Determine the most efficient method of medical prevention of waterborne diseases, whether by water-treatment or the provision of new water sources,</w:t>
      </w:r>
    </w:p>
    <w:p w:rsidR="00000000" w:rsidDel="00000000" w:rsidP="00000000" w:rsidRDefault="00000000" w:rsidRPr="00000000" w14:paraId="0000000E">
      <w:pPr>
        <w:spacing w:after="160" w:line="360" w:lineRule="auto"/>
        <w:ind w:left="1440" w:firstLine="0"/>
        <w:rPr>
          <w:rFonts w:ascii="Helvetica Neue Light" w:cs="Helvetica Neue Light" w:eastAsia="Helvetica Neue Light" w:hAnsi="Helvetica Neue Ligh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360" w:lineRule="auto"/>
        <w:ind w:left="1440" w:firstLine="0"/>
        <w:rPr>
          <w:rFonts w:ascii="Helvetica Neue Light" w:cs="Helvetica Neue Light" w:eastAsia="Helvetica Neue Light" w:hAnsi="Helvetica Neue Ligh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ind w:left="1440" w:firstLine="0"/>
        <w:rPr>
          <w:rFonts w:ascii="Helvetica Neue Light" w:cs="Helvetica Neue Light" w:eastAsia="Helvetica Neue Light" w:hAnsi="Helvetica Neue Ligh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160" w:line="360" w:lineRule="auto"/>
        <w:ind w:left="1440" w:hanging="360"/>
        <w:rPr>
          <w:rFonts w:ascii="Helvetica Neue Light" w:cs="Helvetica Neue Light" w:eastAsia="Helvetica Neue Light" w:hAnsi="Helvetica Neue Light"/>
          <w:i w:val="1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i w:val="1"/>
          <w:sz w:val="24"/>
          <w:szCs w:val="24"/>
          <w:rtl w:val="0"/>
        </w:rPr>
        <w:t xml:space="preserve">Research into cheaper technology for desalination, sand filtration, well recharging, and other water purification strategies as a short term goal,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160" w:line="360" w:lineRule="auto"/>
        <w:ind w:left="1440" w:hanging="360"/>
        <w:rPr>
          <w:rFonts w:ascii="Helvetica Neue Light" w:cs="Helvetica Neue Light" w:eastAsia="Helvetica Neue Light" w:hAnsi="Helvetica Neue Light"/>
          <w:i w:val="1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i w:val="1"/>
          <w:sz w:val="24"/>
          <w:szCs w:val="24"/>
          <w:rtl w:val="0"/>
        </w:rPr>
        <w:t xml:space="preserve">Establish and assist educational programmes on the recognition of and the dangers of consuming unclean water;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When lobbying resolutions, the number of delegate signatures required for the debate of the resolution will be set by the committee chair, with a maximum of two from any school (maximum of one from the delegate’s own school) in order for the resolution to be considered for approval and debate.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No resolutions may be signed at any time other than during designated lobbying sessions.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If delegates sign a resolution, they must be willing to make a speech in time for the resolution.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Decisions regarding the approval status of a resolution lie ultimately with the Approvals Panel.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360" w:lineRule="auto"/>
        <w:jc w:val="left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elvetica Neue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-471487</wp:posOffset>
              </wp:positionH>
              <wp:positionV relativeFrom="paragraph">
                <wp:posOffset>0</wp:posOffset>
              </wp:positionV>
              <wp:extent cx="7605713" cy="742950"/>
              <wp:effectExtent b="0" l="0" r="0" t="0"/>
              <wp:wrapNone/>
              <wp:docPr id="2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2425" y="3407775"/>
                        <a:ext cx="7605713" cy="742950"/>
                        <a:chOff x="1562425" y="3407775"/>
                        <a:chExt cx="7567150" cy="744450"/>
                      </a:xfrm>
                    </wpg:grpSpPr>
                    <wpg:grpSp>
                      <wpg:cNvGrpSpPr/>
                      <wpg:grpSpPr>
                        <a:xfrm>
                          <a:off x="1562442" y="3407793"/>
                          <a:ext cx="7567117" cy="744415"/>
                          <a:chOff x="1562425" y="3407725"/>
                          <a:chExt cx="7567150" cy="7445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62425" y="3407725"/>
                            <a:ext cx="7567150" cy="7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62442" y="3407793"/>
                            <a:ext cx="7567117" cy="744415"/>
                            <a:chOff x="1557675" y="3403025"/>
                            <a:chExt cx="7576650" cy="7539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57675" y="3403025"/>
                              <a:ext cx="7576650" cy="75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2442" y="3407793"/>
                              <a:ext cx="7567117" cy="744415"/>
                              <a:chOff x="0" y="0"/>
                              <a:chExt cx="6858000" cy="676656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6858000" cy="676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6858000" cy="676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855"/>
                              </a:solidFill>
                              <a:ln cap="flat" cmpd="sng" w="9525">
                                <a:solidFill>
                                  <a:srgbClr val="002855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119120" y="103263"/>
                                <a:ext cx="619760" cy="470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3937001" y="313231"/>
                                <a:ext cx="2726968" cy="54000"/>
                                <a:chOff x="3937001" y="313231"/>
                                <a:chExt cx="2726968" cy="54000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937001" y="338326"/>
                                  <a:ext cx="26710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6609969" y="313231"/>
                                  <a:ext cx="54000" cy="54000"/>
                                </a:xfrm>
                                <a:prstGeom prst="donut">
                                  <a:avLst>
                                    <a:gd fmla="val 0" name="adj"/>
                                  </a:avLst>
                                </a:prstGeom>
                                <a:solidFill>
                                  <a:schemeClr val="accent1"/>
                                </a:solidFill>
                                <a:ln cap="flat" cmpd="sng" w="9525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 flipH="1">
                                <a:off x="194031" y="313231"/>
                                <a:ext cx="2726968" cy="54000"/>
                                <a:chOff x="194031" y="313231"/>
                                <a:chExt cx="2726968" cy="54000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194031" y="338326"/>
                                  <a:ext cx="26710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2866999" y="313231"/>
                                  <a:ext cx="54000" cy="54000"/>
                                </a:xfrm>
                                <a:prstGeom prst="donut">
                                  <a:avLst>
                                    <a:gd fmla="val 0" name="adj"/>
                                  </a:avLst>
                                </a:prstGeom>
                                <a:solidFill>
                                  <a:schemeClr val="accent1"/>
                                </a:solidFill>
                                <a:ln cap="flat" cmpd="sng" w="9525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-471487</wp:posOffset>
              </wp:positionH>
              <wp:positionV relativeFrom="paragraph">
                <wp:posOffset>0</wp:posOffset>
              </wp:positionV>
              <wp:extent cx="7605713" cy="742950"/>
              <wp:effectExtent b="0" l="0" r="0" t="0"/>
              <wp:wrapNone/>
              <wp:docPr id="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713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4711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4711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4711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4711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4711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4711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4711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4711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4711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4711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4711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4711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4711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4711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4711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4711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4711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4711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4711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4711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4711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4711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4711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4711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4711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4711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4711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711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47114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84711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7114"/>
  </w:style>
  <w:style w:type="paragraph" w:styleId="Footer">
    <w:name w:val="footer"/>
    <w:basedOn w:val="Normal"/>
    <w:link w:val="FooterChar"/>
    <w:uiPriority w:val="99"/>
    <w:unhideWhenUsed w:val="1"/>
    <w:rsid w:val="0084711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7114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10" Type="http://schemas.openxmlformats.org/officeDocument/2006/relationships/font" Target="fonts/HelveticaNeueLight-boldItalic.ttf"/><Relationship Id="rId9" Type="http://schemas.openxmlformats.org/officeDocument/2006/relationships/font" Target="fonts/HelveticaNeueLight-italic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Relationship Id="rId7" Type="http://schemas.openxmlformats.org/officeDocument/2006/relationships/font" Target="fonts/HelveticaNeueLight-regular.ttf"/><Relationship Id="rId8" Type="http://schemas.openxmlformats.org/officeDocument/2006/relationships/font" Target="fonts/HelveticaNeueLigh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cAbnxwfihVHUDJ5uII1wlY3Jw==">CgMxLjA4AHIhMTc4aE94OTh6ZFdHenZTSGFYV3RtMU8tZWFVcXp6Yk5x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2024-10-26T20:56:00Z</dcterms:created>
  <dc:creator>Devarshi Mandal (dmandal205041 - SFJ3)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0x010100ADB40B9C5D12A444AF6CBAE01341A135</vt:lpwstr>
  </property>
</Properties>
</file>